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A12F" w14:textId="5FD8A0D1" w:rsidR="00E3796A" w:rsidRDefault="00E3796A"/>
    <w:p w14:paraId="149E6D69" w14:textId="1CD815CF" w:rsidR="00E47449" w:rsidRDefault="00E47449"/>
    <w:p w14:paraId="39C5B5B7" w14:textId="77777777" w:rsidR="00B1326C" w:rsidRDefault="00E47449">
      <w:r w:rsidRPr="00E47449">
        <w:t xml:space="preserve">INFORME DE RIESGOS </w:t>
      </w:r>
    </w:p>
    <w:p w14:paraId="4232302B" w14:textId="6FA22080" w:rsidR="00836804" w:rsidRDefault="00E47449">
      <w:r>
        <w:t>IEB AHORRO</w:t>
      </w:r>
      <w:r w:rsidRPr="00E47449">
        <w:t xml:space="preserve"> (RG. CNV 757) </w:t>
      </w:r>
    </w:p>
    <w:p w14:paraId="095C4323" w14:textId="389D7D95" w:rsidR="00E61658" w:rsidRDefault="00E61658">
      <w:r>
        <w:t xml:space="preserve">PERIODO: </w:t>
      </w:r>
      <w:r w:rsidR="00A76376">
        <w:t>OCTUBRE</w:t>
      </w:r>
      <w:r w:rsidR="00973437">
        <w:t>/</w:t>
      </w:r>
      <w:r w:rsidR="00A76376">
        <w:t>DICIEMBRE</w:t>
      </w:r>
      <w:r w:rsidR="00973437">
        <w:t xml:space="preserve"> 2024</w:t>
      </w:r>
    </w:p>
    <w:p w14:paraId="7815F4DB" w14:textId="7D5F5DB5" w:rsidR="00E61658" w:rsidRDefault="00E61658"/>
    <w:p w14:paraId="4E9AD52D" w14:textId="7EF5136C" w:rsidR="00E61658" w:rsidRDefault="00E61658">
      <w:r>
        <w:t>RIESGOS ANALIZADOS:</w:t>
      </w:r>
    </w:p>
    <w:p w14:paraId="1AF70881" w14:textId="109FD1F0" w:rsidR="00E61658" w:rsidRDefault="00E61658" w:rsidP="00B1326C">
      <w:pPr>
        <w:pStyle w:val="Prrafodelista"/>
        <w:numPr>
          <w:ilvl w:val="0"/>
          <w:numId w:val="1"/>
        </w:numPr>
      </w:pPr>
      <w:r>
        <w:t>LIQUIDEZ: estimaciones por modelo VAR</w:t>
      </w:r>
    </w:p>
    <w:p w14:paraId="730D608E" w14:textId="38B1E865" w:rsidR="00E61658" w:rsidRDefault="00E61658" w:rsidP="00B1326C">
      <w:pPr>
        <w:pStyle w:val="Prrafodelista"/>
        <w:numPr>
          <w:ilvl w:val="0"/>
          <w:numId w:val="1"/>
        </w:numPr>
      </w:pPr>
      <w:r>
        <w:t xml:space="preserve">MERCADO: Evolución de valor de </w:t>
      </w:r>
      <w:proofErr w:type="spellStart"/>
      <w:r>
        <w:t>cuotaparte</w:t>
      </w:r>
      <w:proofErr w:type="spellEnd"/>
      <w:r>
        <w:t>.</w:t>
      </w:r>
    </w:p>
    <w:p w14:paraId="2D07CF9F" w14:textId="0634A7E3" w:rsidR="00E61658" w:rsidRDefault="00E61658" w:rsidP="00B1326C">
      <w:pPr>
        <w:pStyle w:val="Prrafodelista"/>
        <w:numPr>
          <w:ilvl w:val="0"/>
          <w:numId w:val="1"/>
        </w:numPr>
      </w:pPr>
      <w:r>
        <w:t>CREDITO: Calidad crediticia de la cartera.</w:t>
      </w:r>
    </w:p>
    <w:p w14:paraId="7F446177" w14:textId="12774829" w:rsidR="00E61658" w:rsidRDefault="00E61658" w:rsidP="00B1326C">
      <w:pPr>
        <w:pStyle w:val="Prrafodelista"/>
        <w:numPr>
          <w:ilvl w:val="0"/>
          <w:numId w:val="1"/>
        </w:numPr>
      </w:pPr>
      <w:r>
        <w:t xml:space="preserve">CONCENTRACION: Análisis de concentración de </w:t>
      </w:r>
      <w:proofErr w:type="spellStart"/>
      <w:r>
        <w:t>cuotapartistas</w:t>
      </w:r>
      <w:proofErr w:type="spellEnd"/>
      <w:r>
        <w:t>.</w:t>
      </w:r>
    </w:p>
    <w:p w14:paraId="245CB814" w14:textId="77777777" w:rsidR="00836804" w:rsidRDefault="00836804"/>
    <w:p w14:paraId="0D606787" w14:textId="77777777" w:rsidR="00836804" w:rsidRDefault="00E47449">
      <w:r w:rsidRPr="00E47449">
        <w:t xml:space="preserve">PERFIL: </w:t>
      </w:r>
    </w:p>
    <w:p w14:paraId="28C976AD" w14:textId="2EDC39DF" w:rsidR="00E47449" w:rsidRDefault="00E47449">
      <w:r>
        <w:t xml:space="preserve">IEB AHORRO </w:t>
      </w:r>
      <w:r w:rsidRPr="00E47449">
        <w:t>es un fondo</w:t>
      </w:r>
      <w:r w:rsidR="00336D97">
        <w:t xml:space="preserve"> en </w:t>
      </w:r>
      <w:r w:rsidR="00BB5B52">
        <w:t xml:space="preserve">pesos, </w:t>
      </w:r>
      <w:r w:rsidR="00BB5B52" w:rsidRPr="00E47449">
        <w:t>ideal</w:t>
      </w:r>
      <w:r w:rsidRPr="00E47449">
        <w:t xml:space="preserve"> para un inversor de perfil conservador y</w:t>
      </w:r>
      <w:r>
        <w:t xml:space="preserve"> de carácter transaccional con un horizonte de inversión de corto plazo</w:t>
      </w:r>
      <w:r w:rsidRPr="00E47449">
        <w:t>, asumiendo una</w:t>
      </w:r>
      <w:r>
        <w:t xml:space="preserve"> baja</w:t>
      </w:r>
      <w:r w:rsidRPr="00E47449">
        <w:t xml:space="preserve"> exposición al riesgo</w:t>
      </w:r>
      <w:r>
        <w:t>. Es un fondo de dinero “puro” e invierte en plazos fijos simples, plazos fijos pre cancelables, cauciones</w:t>
      </w:r>
      <w:r w:rsidR="00075BD5">
        <w:t xml:space="preserve"> y pases</w:t>
      </w:r>
      <w:r>
        <w:t xml:space="preserve"> colocadoras</w:t>
      </w:r>
      <w:r w:rsidR="00E365DA">
        <w:t xml:space="preserve">, </w:t>
      </w:r>
      <w:r>
        <w:t>cuentas corrientes remuneradas</w:t>
      </w:r>
      <w:r w:rsidRPr="00E47449">
        <w:t>.</w:t>
      </w:r>
    </w:p>
    <w:p w14:paraId="5D60E96C" w14:textId="69E7AC93" w:rsidR="00836804" w:rsidRDefault="00836804"/>
    <w:p w14:paraId="1C46210D" w14:textId="1AEB826C" w:rsidR="00836804" w:rsidRDefault="00836804">
      <w:r w:rsidRPr="00836804">
        <w:t>ACTIVOS</w:t>
      </w:r>
      <w:r w:rsidR="00E61658">
        <w:t xml:space="preserve"> al 3</w:t>
      </w:r>
      <w:r w:rsidR="00111E5D">
        <w:t>1</w:t>
      </w:r>
      <w:r w:rsidR="00E61658">
        <w:t>/</w:t>
      </w:r>
      <w:r w:rsidR="00111E5D">
        <w:t>12</w:t>
      </w:r>
      <w:r w:rsidR="00E61658">
        <w:t>/2</w:t>
      </w:r>
      <w:r w:rsidR="002C23E4">
        <w:t>4</w:t>
      </w:r>
      <w:r w:rsidR="00E61658">
        <w:t>:</w:t>
      </w:r>
    </w:p>
    <w:p w14:paraId="00604361" w14:textId="5FC3CCCA" w:rsidR="00110AB9" w:rsidRDefault="00836804">
      <w:r w:rsidRPr="00836804">
        <w:t>Las colocaciones por</w:t>
      </w:r>
      <w:r w:rsidR="00110AB9">
        <w:t xml:space="preserve"> tipos de activos son:</w:t>
      </w:r>
      <w:r w:rsidR="00AE0FAE">
        <w:t xml:space="preserve"> </w:t>
      </w:r>
      <w:r w:rsidR="00111E5D">
        <w:t>34</w:t>
      </w:r>
      <w:r w:rsidR="00970A58">
        <w:t>.</w:t>
      </w:r>
      <w:r w:rsidR="00111E5D">
        <w:t>46</w:t>
      </w:r>
      <w:r w:rsidR="00110AB9">
        <w:t xml:space="preserve">% plazos fijos simples, </w:t>
      </w:r>
      <w:r w:rsidR="00970A58">
        <w:t>9.</w:t>
      </w:r>
      <w:r w:rsidR="00111E5D">
        <w:t>90</w:t>
      </w:r>
      <w:r w:rsidR="00110AB9">
        <w:t>% plazos fijos pre cancelables</w:t>
      </w:r>
      <w:r w:rsidR="00B66079">
        <w:t xml:space="preserve">, </w:t>
      </w:r>
      <w:r w:rsidR="00111E5D">
        <w:t>18</w:t>
      </w:r>
      <w:r w:rsidR="00970A58">
        <w:t>.</w:t>
      </w:r>
      <w:r w:rsidR="00111E5D">
        <w:t>83</w:t>
      </w:r>
      <w:r w:rsidR="00B66079">
        <w:t>% cauciones colocadoras</w:t>
      </w:r>
      <w:r w:rsidR="00111E5D">
        <w:t>,</w:t>
      </w:r>
      <w:r w:rsidR="00EE2448">
        <w:t xml:space="preserve"> </w:t>
      </w:r>
      <w:r w:rsidR="00111E5D">
        <w:t>31</w:t>
      </w:r>
      <w:r w:rsidR="00970A58">
        <w:t>.</w:t>
      </w:r>
      <w:r w:rsidR="00111E5D">
        <w:t>49</w:t>
      </w:r>
      <w:r w:rsidR="00EE2448">
        <w:t>%</w:t>
      </w:r>
      <w:r w:rsidR="00110AB9">
        <w:t xml:space="preserve"> </w:t>
      </w:r>
      <w:r w:rsidR="00EE2448">
        <w:t>cuentas corrientes remuneradas</w:t>
      </w:r>
      <w:r w:rsidR="00111E5D">
        <w:t xml:space="preserve"> y 5.32% pases colocadores.</w:t>
      </w:r>
    </w:p>
    <w:p w14:paraId="77D46328" w14:textId="02A2768F" w:rsidR="00836804" w:rsidRDefault="00836804">
      <w:r w:rsidRPr="00836804">
        <w:t>Las principales colocaciones agrupadas por contraparte se encuentran en</w:t>
      </w:r>
      <w:r w:rsidR="00EE0CD8">
        <w:t xml:space="preserve"> B</w:t>
      </w:r>
      <w:r w:rsidR="00B66079">
        <w:t xml:space="preserve">anco </w:t>
      </w:r>
      <w:r w:rsidR="00F842FB">
        <w:t>BBVA</w:t>
      </w:r>
      <w:r w:rsidR="00B66079">
        <w:t xml:space="preserve"> </w:t>
      </w:r>
      <w:r w:rsidR="00F842FB">
        <w:t>18</w:t>
      </w:r>
      <w:r w:rsidR="00970A58">
        <w:t>.</w:t>
      </w:r>
      <w:r w:rsidR="00F842FB">
        <w:t>36</w:t>
      </w:r>
      <w:r w:rsidR="00EE0CD8">
        <w:t>%,</w:t>
      </w:r>
      <w:r w:rsidRPr="00836804">
        <w:t xml:space="preserve"> </w:t>
      </w:r>
      <w:r w:rsidR="00F842FB">
        <w:t xml:space="preserve">Banco CMF 14.11%, </w:t>
      </w:r>
      <w:r w:rsidR="003E7139">
        <w:t xml:space="preserve">Banco </w:t>
      </w:r>
      <w:r w:rsidR="00F842FB">
        <w:t>Santander</w:t>
      </w:r>
      <w:r w:rsidR="003E7139">
        <w:t xml:space="preserve"> </w:t>
      </w:r>
      <w:r w:rsidR="00F842FB">
        <w:t>9</w:t>
      </w:r>
      <w:r w:rsidR="00B66079">
        <w:t>.</w:t>
      </w:r>
      <w:r w:rsidR="00970A58">
        <w:t>78</w:t>
      </w:r>
      <w:r w:rsidR="003E7139">
        <w:t>%</w:t>
      </w:r>
      <w:r w:rsidR="00EE0CD8">
        <w:t>,</w:t>
      </w:r>
      <w:r w:rsidR="00F842FB">
        <w:t xml:space="preserve"> Banco Hipotecario 6.00%, Banco </w:t>
      </w:r>
      <w:proofErr w:type="spellStart"/>
      <w:r w:rsidR="00F842FB">
        <w:t>Interfinanzas</w:t>
      </w:r>
      <w:proofErr w:type="spellEnd"/>
      <w:r w:rsidR="00F842FB">
        <w:t xml:space="preserve"> 5.94%, </w:t>
      </w:r>
      <w:r w:rsidR="00EE0CD8" w:rsidRPr="00B03384">
        <w:t>B</w:t>
      </w:r>
      <w:r w:rsidR="00697942">
        <w:t xml:space="preserve">ACS </w:t>
      </w:r>
      <w:r w:rsidR="00F842FB">
        <w:t>5</w:t>
      </w:r>
      <w:r w:rsidR="00970A58">
        <w:t>.</w:t>
      </w:r>
      <w:r w:rsidR="00F842FB">
        <w:t>41</w:t>
      </w:r>
      <w:r w:rsidR="005A2723" w:rsidRPr="00B03384">
        <w:t>%</w:t>
      </w:r>
      <w:r w:rsidR="00970A58">
        <w:t>,</w:t>
      </w:r>
      <w:r w:rsidR="00F842FB">
        <w:t xml:space="preserve"> </w:t>
      </w:r>
      <w:r w:rsidR="00970A58">
        <w:t xml:space="preserve">Banco Provincia </w:t>
      </w:r>
      <w:r w:rsidR="00F842FB">
        <w:t>4</w:t>
      </w:r>
      <w:r w:rsidR="00970A58">
        <w:t>.</w:t>
      </w:r>
      <w:r w:rsidR="00F842FB">
        <w:t>08</w:t>
      </w:r>
      <w:r w:rsidR="00C92F3D">
        <w:t xml:space="preserve">% </w:t>
      </w:r>
      <w:r w:rsidRPr="00B03384">
        <w:t>acumulando</w:t>
      </w:r>
      <w:r w:rsidRPr="00836804">
        <w:t xml:space="preserve"> las primeras </w:t>
      </w:r>
      <w:r w:rsidR="00EE2448">
        <w:t>siete</w:t>
      </w:r>
      <w:r w:rsidRPr="00836804">
        <w:t xml:space="preserve"> colocaciones un </w:t>
      </w:r>
      <w:r w:rsidR="00F842FB">
        <w:t>63</w:t>
      </w:r>
      <w:r w:rsidR="00EE2448">
        <w:t>.</w:t>
      </w:r>
      <w:r w:rsidR="00F842FB">
        <w:t>68</w:t>
      </w:r>
      <w:r w:rsidRPr="00836804">
        <w:t>%</w:t>
      </w:r>
      <w:r w:rsidR="00524A2F">
        <w:t>.</w:t>
      </w:r>
    </w:p>
    <w:p w14:paraId="79C43C55" w14:textId="77777777" w:rsidR="002A1F50" w:rsidRDefault="002A1F50"/>
    <w:p w14:paraId="6C150B88" w14:textId="77777777" w:rsidR="009C5E26" w:rsidRDefault="009C5E26"/>
    <w:p w14:paraId="624CBC58" w14:textId="77777777" w:rsidR="009C5E26" w:rsidRDefault="009C5E26"/>
    <w:p w14:paraId="6C4A3D9E" w14:textId="77777777" w:rsidR="009C5E26" w:rsidRDefault="009C5E26"/>
    <w:p w14:paraId="3CC339CE" w14:textId="77777777" w:rsidR="009C5E26" w:rsidRDefault="009C5E26"/>
    <w:p w14:paraId="54B55785" w14:textId="77777777" w:rsidR="009C5E26" w:rsidRDefault="009C5E26"/>
    <w:p w14:paraId="203687FB" w14:textId="77777777" w:rsidR="009C5E26" w:rsidRDefault="009C5E26"/>
    <w:p w14:paraId="3D6B8A2A" w14:textId="77777777" w:rsidR="009C5E26" w:rsidRDefault="009C5E26"/>
    <w:p w14:paraId="5DE28F99" w14:textId="77777777" w:rsidR="009C5E26" w:rsidRDefault="009C5E26"/>
    <w:p w14:paraId="717A9A25" w14:textId="77777777" w:rsidR="009C5E26" w:rsidRDefault="009C5E26"/>
    <w:p w14:paraId="3086EE07" w14:textId="52C2959D" w:rsidR="00E73199" w:rsidRDefault="0013311D">
      <w:r>
        <w:rPr>
          <w:noProof/>
        </w:rPr>
        <w:drawing>
          <wp:inline distT="0" distB="0" distL="0" distR="0" wp14:anchorId="0DF29582" wp14:editId="6444B42E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30FF92-6831-40FD-9786-021BC7446D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70535CB" w14:textId="71434BAC" w:rsidR="00524A2F" w:rsidRDefault="00524A2F"/>
    <w:p w14:paraId="4FB69A93" w14:textId="2B54D677" w:rsidR="00CF66A6" w:rsidRDefault="00CF66A6"/>
    <w:p w14:paraId="70B45DA2" w14:textId="34723C1E" w:rsidR="00CF66A6" w:rsidRDefault="00CF66A6">
      <w:r>
        <w:t>PRINCIPALES DEPOSITOS E INVERSIONES POR CONTRAPARTE</w:t>
      </w:r>
    </w:p>
    <w:p w14:paraId="6B69EC16" w14:textId="097E007D" w:rsidR="003C4BB3" w:rsidRDefault="00FD1221">
      <w:r>
        <w:rPr>
          <w:noProof/>
        </w:rPr>
        <w:drawing>
          <wp:inline distT="0" distB="0" distL="0" distR="0" wp14:anchorId="14A5F8D2" wp14:editId="6FEEC110">
            <wp:extent cx="5400040" cy="2938780"/>
            <wp:effectExtent l="0" t="0" r="10160" b="1397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59A8281-722D-40F1-AC41-788BF0305A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873D38" w14:textId="071B94B1" w:rsidR="00F72935" w:rsidRDefault="00F72935" w:rsidP="00F72935">
      <w:pPr>
        <w:pStyle w:val="Prrafodelista"/>
        <w:numPr>
          <w:ilvl w:val="0"/>
          <w:numId w:val="2"/>
        </w:numPr>
      </w:pPr>
      <w:r>
        <w:t>RIESGO DE LIQUIDEZ</w:t>
      </w:r>
    </w:p>
    <w:p w14:paraId="0DC96755" w14:textId="77777777" w:rsidR="00990259" w:rsidRDefault="00990259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2D65D7DE" w14:textId="16B7C8A6" w:rsidR="00990259" w:rsidRDefault="00990259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 w:rsidRPr="00990259">
        <w:rPr>
          <w:rFonts w:ascii="Calibri" w:eastAsia="Times New Roman" w:hAnsi="Calibri" w:cs="Calibri"/>
          <w:color w:val="000000"/>
          <w:lang w:eastAsia="es-AR"/>
        </w:rPr>
        <w:t>Perfiles de vencimientos para la cartera (en % sobre PN)</w:t>
      </w:r>
    </w:p>
    <w:p w14:paraId="23993E7B" w14:textId="48FECBAD" w:rsidR="00990259" w:rsidRDefault="00990259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71D88143" w14:textId="15750E65" w:rsidR="00990259" w:rsidRDefault="000E42CE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lastRenderedPageBreak/>
        <w:drawing>
          <wp:inline distT="0" distB="0" distL="0" distR="0" wp14:anchorId="46B60558" wp14:editId="4FF7D3D7">
            <wp:extent cx="4572000" cy="274320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612949A4-10D6-4068-A4FA-DAAA3E929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513AE5" w14:textId="236DD105" w:rsidR="008A7175" w:rsidRDefault="008A7175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5A6D77CC" w14:textId="77777777" w:rsidR="008A7175" w:rsidRDefault="008A7175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40EB4F8B" w14:textId="249E9EA5" w:rsidR="008A7175" w:rsidRDefault="002B431A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7438EACB" wp14:editId="5E3D9F23">
            <wp:extent cx="45720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3D995409-C82D-4AEE-AE23-D076B76966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3E4960" w14:textId="5B91D1D2" w:rsidR="008A7175" w:rsidRDefault="008A7175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042B5F5A" w14:textId="69A5BD31" w:rsidR="008A7175" w:rsidRDefault="000E42CE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inline distT="0" distB="0" distL="0" distR="0" wp14:anchorId="1657FB76" wp14:editId="76B7CB20">
            <wp:extent cx="4587240" cy="2785110"/>
            <wp:effectExtent l="0" t="0" r="3810" b="1524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5FDD9761-BA3C-42F0-89DF-29EF68F09B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4957C6" w14:textId="77777777" w:rsidR="008A7175" w:rsidRDefault="008A7175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3448120B" w14:textId="3499BF3A" w:rsidR="00786ED3" w:rsidRDefault="00786ED3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1279D80C" w14:textId="4436575E" w:rsidR="008A7175" w:rsidRDefault="008A7175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2E363E18" w14:textId="71F8DE41" w:rsidR="00786ED3" w:rsidRDefault="00786ED3" w:rsidP="00990259">
      <w:pPr>
        <w:spacing w:after="0" w:line="240" w:lineRule="auto"/>
        <w:rPr>
          <w:rFonts w:ascii="Calibri" w:eastAsia="Times New Roman" w:hAnsi="Calibri" w:cs="Calibri"/>
          <w:color w:val="000000"/>
          <w:lang w:eastAsia="es-AR"/>
        </w:rPr>
      </w:pPr>
    </w:p>
    <w:p w14:paraId="1E77B72C" w14:textId="77777777" w:rsidR="00786ED3" w:rsidRDefault="00786ED3" w:rsidP="00F72935">
      <w:pPr>
        <w:rPr>
          <w:rFonts w:ascii="Calibri" w:eastAsia="Times New Roman" w:hAnsi="Calibri" w:cs="Calibri"/>
          <w:color w:val="000000"/>
          <w:lang w:eastAsia="es-AR"/>
        </w:rPr>
      </w:pPr>
    </w:p>
    <w:p w14:paraId="26BA4CBE" w14:textId="2CF7189B" w:rsidR="00990259" w:rsidRDefault="00336D97" w:rsidP="00F72935">
      <w:r>
        <w:t>LIQUIDEZ</w:t>
      </w:r>
    </w:p>
    <w:p w14:paraId="727BED66" w14:textId="7E293B0B" w:rsidR="00336D97" w:rsidRDefault="00336D97" w:rsidP="00F72935">
      <w:r>
        <w:t>Al 3</w:t>
      </w:r>
      <w:r w:rsidR="00111E5D">
        <w:t>1</w:t>
      </w:r>
      <w:r>
        <w:t>/</w:t>
      </w:r>
      <w:r w:rsidR="00F216C1">
        <w:t>12</w:t>
      </w:r>
      <w:r>
        <w:t>/2</w:t>
      </w:r>
      <w:r w:rsidR="00111E5D">
        <w:t>4</w:t>
      </w:r>
      <w:r>
        <w:t xml:space="preserve"> el fondo tiene una </w:t>
      </w:r>
      <w:proofErr w:type="spellStart"/>
      <w:r>
        <w:t>duration</w:t>
      </w:r>
      <w:proofErr w:type="spellEnd"/>
      <w:r>
        <w:t xml:space="preserve"> de </w:t>
      </w:r>
      <w:r w:rsidR="00C92F3D">
        <w:t>11,40</w:t>
      </w:r>
      <w:r>
        <w:t xml:space="preserve"> días y cuenta con </w:t>
      </w:r>
      <w:r w:rsidR="00BB5B52">
        <w:t>disponibilidades</w:t>
      </w:r>
      <w:r>
        <w:t xml:space="preserve"> </w:t>
      </w:r>
      <w:r w:rsidR="00BB5B52">
        <w:t xml:space="preserve">por </w:t>
      </w:r>
      <w:r w:rsidR="00111E5D">
        <w:t>55</w:t>
      </w:r>
      <w:r w:rsidR="00F216C1">
        <w:t>.</w:t>
      </w:r>
      <w:r w:rsidR="00111E5D">
        <w:t>64</w:t>
      </w:r>
      <w:r w:rsidR="00BB5B52">
        <w:t>% del activo</w:t>
      </w:r>
      <w:r w:rsidR="003E77E7">
        <w:t>.</w:t>
      </w:r>
      <w:r w:rsidR="00BB5B52">
        <w:t xml:space="preserve"> </w:t>
      </w:r>
    </w:p>
    <w:p w14:paraId="772199EC" w14:textId="50F63137" w:rsidR="00771A0C" w:rsidRDefault="007D6329" w:rsidP="00F72935">
      <w:r>
        <w:t xml:space="preserve">Por otra </w:t>
      </w:r>
      <w:r w:rsidR="00531318">
        <w:t>parte,</w:t>
      </w:r>
      <w:r>
        <w:t xml:space="preserve"> s</w:t>
      </w:r>
      <w:r w:rsidR="00771A0C">
        <w:t xml:space="preserve">e </w:t>
      </w:r>
      <w:r w:rsidR="002A1F50">
        <w:t>realizó</w:t>
      </w:r>
      <w:r w:rsidR="00771A0C">
        <w:t xml:space="preserve"> un estudio de </w:t>
      </w:r>
      <w:r>
        <w:t>la evolución del margen de liquidez vs</w:t>
      </w:r>
      <w:r w:rsidR="00E365DA">
        <w:t>.</w:t>
      </w:r>
      <w:r>
        <w:t xml:space="preserve"> la variación patrimonial (suscripciones – rescates), donde se puede observar que dicho margen cubre </w:t>
      </w:r>
      <w:r w:rsidR="0089448B">
        <w:t>ampliamente</w:t>
      </w:r>
      <w:r>
        <w:t xml:space="preserve"> los rescates.</w:t>
      </w:r>
    </w:p>
    <w:p w14:paraId="0FCAD8AF" w14:textId="73E772E9" w:rsidR="00484A4A" w:rsidRDefault="00484A4A" w:rsidP="00F72935"/>
    <w:p w14:paraId="11303D79" w14:textId="1BEA5FC0" w:rsidR="00484A4A" w:rsidRDefault="00484A4A" w:rsidP="00F72935">
      <w:r>
        <w:rPr>
          <w:noProof/>
        </w:rPr>
        <w:drawing>
          <wp:inline distT="0" distB="0" distL="0" distR="0" wp14:anchorId="096817BA" wp14:editId="2D6E0F22">
            <wp:extent cx="5425440" cy="2994660"/>
            <wp:effectExtent l="0" t="0" r="3810" b="1524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B1EC7839-0EF4-4378-BF42-03F2AB9C1F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14C138" w14:textId="20457E7A" w:rsidR="007D6329" w:rsidRDefault="007D6329" w:rsidP="00F72935"/>
    <w:p w14:paraId="2511CEFC" w14:textId="39895079" w:rsidR="007D6329" w:rsidRDefault="007D6329" w:rsidP="00F72935"/>
    <w:p w14:paraId="47E45EF1" w14:textId="6F1DCBFB" w:rsidR="00BB5B52" w:rsidRDefault="00BB5B52" w:rsidP="00F72935"/>
    <w:p w14:paraId="65274CE9" w14:textId="2FBE7E75" w:rsidR="00531318" w:rsidRDefault="00531318" w:rsidP="00F72935"/>
    <w:p w14:paraId="53151AB2" w14:textId="77777777" w:rsidR="00531318" w:rsidRDefault="00531318" w:rsidP="00F72935"/>
    <w:p w14:paraId="0B150AB2" w14:textId="77777777" w:rsidR="00531318" w:rsidRDefault="00531318" w:rsidP="00F72935"/>
    <w:p w14:paraId="03056B10" w14:textId="77777777" w:rsidR="00531318" w:rsidRDefault="00531318" w:rsidP="00F72935"/>
    <w:p w14:paraId="3A0612FD" w14:textId="01E90255" w:rsidR="00531318" w:rsidRDefault="00531318" w:rsidP="00F72935">
      <w:r>
        <w:t>ANALISIS VAR</w:t>
      </w:r>
    </w:p>
    <w:p w14:paraId="03D25A5A" w14:textId="58564473" w:rsidR="00531318" w:rsidRDefault="00531318" w:rsidP="00F72935">
      <w:r>
        <w:t xml:space="preserve">Como prueba de stress se </w:t>
      </w:r>
      <w:r w:rsidR="002A1F50">
        <w:t>llevó</w:t>
      </w:r>
      <w:r>
        <w:t xml:space="preserve"> a cabo </w:t>
      </w:r>
      <w:r w:rsidR="003E77E7">
        <w:t>el</w:t>
      </w:r>
      <w:r>
        <w:t xml:space="preserve"> análisis VAR modificado, tomando como retorno diario del fondo </w:t>
      </w:r>
      <w:r w:rsidR="0076674E">
        <w:t>la variación diaria de suscripciones y rescates</w:t>
      </w:r>
      <w:r w:rsidR="003E77E7">
        <w:t>,</w:t>
      </w:r>
      <w:r>
        <w:t xml:space="preserve"> como porcentaje del patrimonio. El análisis se </w:t>
      </w:r>
      <w:r w:rsidR="002A1F50">
        <w:t>llevó</w:t>
      </w:r>
      <w:r>
        <w:t xml:space="preserve"> a cabo para </w:t>
      </w:r>
      <w:r w:rsidRPr="00374BB8">
        <w:t xml:space="preserve">el período </w:t>
      </w:r>
      <w:r w:rsidR="006C6118">
        <w:t>Octubre</w:t>
      </w:r>
      <w:r w:rsidR="00973437">
        <w:t>-</w:t>
      </w:r>
      <w:r w:rsidR="006C6118">
        <w:t>Diciembre</w:t>
      </w:r>
      <w:r w:rsidR="00973437">
        <w:t xml:space="preserve"> 2024</w:t>
      </w:r>
      <w:r w:rsidRPr="00374BB8">
        <w:t xml:space="preserve"> y dio como resultado </w:t>
      </w:r>
      <w:r>
        <w:t>las siguientes mediciones:</w:t>
      </w:r>
    </w:p>
    <w:p w14:paraId="0F04195A" w14:textId="01DCCCD9" w:rsidR="00531318" w:rsidRDefault="00531318" w:rsidP="00531318">
      <w:pPr>
        <w:pStyle w:val="Prrafodelista"/>
        <w:numPr>
          <w:ilvl w:val="0"/>
          <w:numId w:val="3"/>
        </w:numPr>
      </w:pPr>
      <w:r>
        <w:lastRenderedPageBreak/>
        <w:t>Existe un 95% de probabilidad del que el fondo NO tenga rescates</w:t>
      </w:r>
      <w:r w:rsidR="00AB0016">
        <w:t xml:space="preserve"> netos</w:t>
      </w:r>
      <w:r>
        <w:t xml:space="preserve"> por </w:t>
      </w:r>
      <w:r w:rsidR="002A1F50">
        <w:t>más</w:t>
      </w:r>
      <w:r>
        <w:t xml:space="preserve"> de $</w:t>
      </w:r>
      <w:r w:rsidR="00973437">
        <w:t>10.</w:t>
      </w:r>
      <w:r w:rsidR="009E32FB">
        <w:t>04</w:t>
      </w:r>
      <w:r w:rsidR="00973437">
        <w:t>4</w:t>
      </w:r>
      <w:r w:rsidR="0042789D">
        <w:t xml:space="preserve"> </w:t>
      </w:r>
      <w:r>
        <w:t xml:space="preserve">millones en 1 día. Al </w:t>
      </w:r>
      <w:r w:rsidR="00973437">
        <w:t>3</w:t>
      </w:r>
      <w:r w:rsidR="006C6118">
        <w:t>1</w:t>
      </w:r>
      <w:r w:rsidR="00973437">
        <w:t>/</w:t>
      </w:r>
      <w:r w:rsidR="006C6118">
        <w:t>12</w:t>
      </w:r>
      <w:r w:rsidR="00973437">
        <w:t>/2024</w:t>
      </w:r>
      <w:r>
        <w:t xml:space="preserve"> dicho rescate equivale al </w:t>
      </w:r>
      <w:r w:rsidR="00973437">
        <w:t>2</w:t>
      </w:r>
      <w:r w:rsidR="009E32FB">
        <w:t>3</w:t>
      </w:r>
      <w:r w:rsidR="00973437">
        <w:t>,3</w:t>
      </w:r>
      <w:r>
        <w:t>% del patrimonio del fondo.</w:t>
      </w:r>
    </w:p>
    <w:p w14:paraId="7C1E73B8" w14:textId="0EAB5403" w:rsidR="00531318" w:rsidRDefault="00531318" w:rsidP="00531318">
      <w:pPr>
        <w:pStyle w:val="Prrafodelista"/>
        <w:numPr>
          <w:ilvl w:val="0"/>
          <w:numId w:val="3"/>
        </w:numPr>
      </w:pPr>
      <w:r>
        <w:t>Existe un 99% de probabilidad del que el fondo NO tenga rescates</w:t>
      </w:r>
      <w:r w:rsidR="00AB0016">
        <w:t xml:space="preserve"> netos</w:t>
      </w:r>
      <w:r>
        <w:t xml:space="preserve"> por más de $</w:t>
      </w:r>
      <w:r w:rsidR="00973437">
        <w:t>14.</w:t>
      </w:r>
      <w:r w:rsidR="009E32FB">
        <w:t>205</w:t>
      </w:r>
      <w:r w:rsidR="0042789D">
        <w:t xml:space="preserve"> </w:t>
      </w:r>
      <w:r>
        <w:t xml:space="preserve">millones en 1 día. Al </w:t>
      </w:r>
      <w:r w:rsidR="00973437">
        <w:t>3</w:t>
      </w:r>
      <w:r w:rsidR="006C6118">
        <w:t>1</w:t>
      </w:r>
      <w:r w:rsidR="00973437">
        <w:t>/</w:t>
      </w:r>
      <w:r w:rsidR="006C6118">
        <w:t>12</w:t>
      </w:r>
      <w:r w:rsidR="00973437">
        <w:t>/2024</w:t>
      </w:r>
      <w:r>
        <w:t xml:space="preserve"> dicho rescate equivale al </w:t>
      </w:r>
      <w:r w:rsidR="00973437">
        <w:t>3</w:t>
      </w:r>
      <w:r w:rsidR="009E32FB">
        <w:t>3</w:t>
      </w:r>
      <w:r w:rsidR="00973437">
        <w:t>,</w:t>
      </w:r>
      <w:r w:rsidR="009E32FB">
        <w:t>0</w:t>
      </w:r>
      <w:r>
        <w:t>% del patrimonio del fondo.</w:t>
      </w:r>
    </w:p>
    <w:p w14:paraId="6A7690E2" w14:textId="77777777" w:rsidR="001255DE" w:rsidRDefault="001255DE" w:rsidP="001255DE"/>
    <w:p w14:paraId="73855BC1" w14:textId="41837AA6" w:rsidR="00531318" w:rsidRDefault="001255DE" w:rsidP="00531318">
      <w:r>
        <w:rPr>
          <w:b/>
          <w:bCs/>
          <w:color w:val="404040"/>
        </w:rPr>
        <w:t>En conclusión, la cobertura de activos líquidos es también suficiente para cubrir los rescates netos esperados en escenarios de estrés, calculados a partir de análisis VaR llevados a cabo para niveles de confianza del 95% y el 99%.</w:t>
      </w:r>
    </w:p>
    <w:p w14:paraId="613820FE" w14:textId="77777777" w:rsidR="009A6F69" w:rsidRDefault="009A6F69" w:rsidP="00F72935"/>
    <w:p w14:paraId="4641878A" w14:textId="359082E7" w:rsidR="00F72935" w:rsidRDefault="00F72935" w:rsidP="00F72935">
      <w:pPr>
        <w:pStyle w:val="Prrafodelista"/>
        <w:numPr>
          <w:ilvl w:val="0"/>
          <w:numId w:val="2"/>
        </w:numPr>
      </w:pPr>
      <w:r>
        <w:t>RIESGO DE MERCADO</w:t>
      </w:r>
    </w:p>
    <w:p w14:paraId="433A5462" w14:textId="77777777" w:rsidR="00F72935" w:rsidRDefault="00F72935" w:rsidP="00F72935">
      <w:pPr>
        <w:pStyle w:val="Prrafodelista"/>
      </w:pPr>
    </w:p>
    <w:p w14:paraId="7285EFD1" w14:textId="729F2E96" w:rsidR="00990259" w:rsidRDefault="00F72935" w:rsidP="00F72935">
      <w:r>
        <w:t>El fondo IEB AHORRO no posee en su cartera instrumentos valuados a mercado</w:t>
      </w:r>
      <w:r w:rsidR="00A93461">
        <w:t xml:space="preserve"> por lo cual la volatilidad es muy acotada.</w:t>
      </w:r>
      <w:r w:rsidR="00990259">
        <w:t xml:space="preserve"> </w:t>
      </w:r>
    </w:p>
    <w:p w14:paraId="15EA7A94" w14:textId="5F6D3C88" w:rsidR="00990259" w:rsidRDefault="00990259" w:rsidP="00F72935"/>
    <w:p w14:paraId="7CB81328" w14:textId="77777777" w:rsidR="00990259" w:rsidRDefault="00990259" w:rsidP="00F72935"/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350"/>
        <w:gridCol w:w="217"/>
        <w:gridCol w:w="217"/>
        <w:gridCol w:w="1738"/>
        <w:gridCol w:w="1710"/>
        <w:gridCol w:w="1738"/>
        <w:gridCol w:w="146"/>
      </w:tblGrid>
      <w:tr w:rsidR="00FD050A" w:rsidRPr="00FD050A" w14:paraId="7E8F4484" w14:textId="77777777" w:rsidTr="00AD51B6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6179" w14:textId="77777777" w:rsidR="00FD050A" w:rsidRP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132" w14:textId="77777777" w:rsidR="00FD050A" w:rsidRPr="00FD050A" w:rsidRDefault="00FD050A" w:rsidP="00FD05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  <w:r w:rsidRPr="00FD050A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t>Rendimiento, volatilidad y variaciones patrimoniales del período</w:t>
            </w:r>
          </w:p>
        </w:tc>
      </w:tr>
      <w:tr w:rsidR="00FD050A" w:rsidRPr="00FD050A" w14:paraId="19D11DB4" w14:textId="77777777" w:rsidTr="00AD51B6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E9C9" w14:textId="77777777" w:rsidR="00FD050A" w:rsidRDefault="00FD050A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463E437B" w14:textId="77777777" w:rsidR="00990259" w:rsidRDefault="00990259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3331C441" w14:textId="77777777" w:rsidR="00990259" w:rsidRDefault="00990259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74ACDF0A" w14:textId="77777777" w:rsidR="00990259" w:rsidRDefault="00990259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3216AF99" w14:textId="77777777" w:rsidR="00990259" w:rsidRDefault="00990259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661C8748" w14:textId="77777777" w:rsidR="00990259" w:rsidRDefault="00990259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6CE37D96" w14:textId="77777777" w:rsidR="00990259" w:rsidRDefault="00990259" w:rsidP="00FD0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  <w:p w14:paraId="5944757C" w14:textId="6F7EC1F3" w:rsidR="00990259" w:rsidRPr="00FD050A" w:rsidRDefault="00990259" w:rsidP="009902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44"/>
              <w:gridCol w:w="238"/>
              <w:gridCol w:w="238"/>
              <w:gridCol w:w="1240"/>
              <w:gridCol w:w="1240"/>
            </w:tblGrid>
            <w:tr w:rsidR="00F558B2" w:rsidRPr="00F558B2" w14:paraId="34764263" w14:textId="77777777" w:rsidTr="00F558B2">
              <w:trPr>
                <w:trHeight w:val="288"/>
              </w:trPr>
              <w:tc>
                <w:tcPr>
                  <w:tcW w:w="3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81AC146" w14:textId="72528EB8" w:rsidR="00F558B2" w:rsidRPr="00F558B2" w:rsidRDefault="00F558B2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 xml:space="preserve">Datos al cierre de </w:t>
                  </w:r>
                  <w:r w:rsidR="00EA687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diciembre</w:t>
                  </w:r>
                  <w:r w:rsidRPr="00F558B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 xml:space="preserve"> 202</w:t>
                  </w:r>
                  <w:r w:rsidR="005D331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754571" w14:textId="27621661" w:rsidR="00F558B2" w:rsidRPr="00F558B2" w:rsidRDefault="00AB0016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diciembre</w:t>
                  </w:r>
                  <w:r w:rsidR="005115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 xml:space="preserve"> 202</w:t>
                  </w:r>
                  <w:r w:rsidR="005D331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F5BD90" w14:textId="435540B1" w:rsidR="00F558B2" w:rsidRPr="00F558B2" w:rsidRDefault="00AB0016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octubre</w:t>
                  </w:r>
                  <w:r w:rsidR="005115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 xml:space="preserve">/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diciembre</w:t>
                  </w:r>
                  <w:r w:rsidR="0051159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 xml:space="preserve"> 202</w:t>
                  </w:r>
                  <w:r w:rsidR="005D331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AR"/>
                    </w:rPr>
                    <w:t>4</w:t>
                  </w:r>
                </w:p>
              </w:tc>
            </w:tr>
            <w:tr w:rsidR="00F558B2" w:rsidRPr="00F558B2" w14:paraId="79AED520" w14:textId="77777777" w:rsidTr="00F558B2">
              <w:trPr>
                <w:trHeight w:val="288"/>
              </w:trPr>
              <w:tc>
                <w:tcPr>
                  <w:tcW w:w="3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DD9A38" w14:textId="1E3F5BFC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Rendimiento efectivo</w:t>
                  </w:r>
                  <w:r w:rsidR="0051159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 xml:space="preserve"> (cuota E)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723068" w14:textId="7777777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B7EC5B" w14:textId="24720C26" w:rsidR="00F558B2" w:rsidRPr="00F558B2" w:rsidRDefault="009E32FB" w:rsidP="005115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2</w:t>
                  </w:r>
                  <w:r w:rsidR="005234E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64</w:t>
                  </w:r>
                  <w:r w:rsidR="00F558B2"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F35274" w14:textId="19DEEBDB" w:rsidR="00F558B2" w:rsidRPr="00F558B2" w:rsidRDefault="009E32FB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8</w:t>
                  </w:r>
                  <w:r w:rsidR="005234E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8</w:t>
                  </w:r>
                  <w:r w:rsidR="005234E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7</w:t>
                  </w:r>
                  <w:r w:rsidR="00F558B2"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%</w:t>
                  </w:r>
                </w:p>
              </w:tc>
            </w:tr>
            <w:tr w:rsidR="00F558B2" w:rsidRPr="00F558B2" w14:paraId="7695D7C9" w14:textId="77777777" w:rsidTr="00F558B2">
              <w:trPr>
                <w:trHeight w:val="288"/>
              </w:trPr>
              <w:tc>
                <w:tcPr>
                  <w:tcW w:w="32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33142D" w14:textId="404FF43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 xml:space="preserve">volatilidad </w:t>
                  </w:r>
                  <w:r w:rsidR="002F637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(diaria)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99DD63" w14:textId="7777777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CEED0A" w14:textId="7777777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687CD0" w14:textId="5D54BFF3" w:rsidR="00F558B2" w:rsidRPr="00F558B2" w:rsidRDefault="002F637F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0.1</w:t>
                  </w:r>
                  <w:r w:rsidR="0086517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3</w:t>
                  </w:r>
                  <w:r w:rsidR="005234E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7</w:t>
                  </w:r>
                  <w:r w:rsidR="00865178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1</w:t>
                  </w:r>
                  <w:r w:rsidR="009D61E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890BC7" w14:textId="2AA9D93A" w:rsidR="00F558B2" w:rsidRPr="00F558B2" w:rsidRDefault="00F558B2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0,</w:t>
                  </w:r>
                  <w:r w:rsidR="004F2CF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1</w:t>
                  </w:r>
                  <w:r w:rsidR="009E32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418</w:t>
                  </w: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%</w:t>
                  </w:r>
                </w:p>
              </w:tc>
            </w:tr>
            <w:tr w:rsidR="00F558B2" w:rsidRPr="00F558B2" w14:paraId="3AC9251A" w14:textId="77777777" w:rsidTr="00F558B2">
              <w:trPr>
                <w:trHeight w:val="288"/>
              </w:trPr>
              <w:tc>
                <w:tcPr>
                  <w:tcW w:w="3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843C05" w14:textId="7777777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Variación PN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FF6B5B" w14:textId="7777777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C625F3" w14:textId="77777777" w:rsidR="00F558B2" w:rsidRPr="00F558B2" w:rsidRDefault="00F558B2" w:rsidP="00F558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AAB558" w14:textId="5C71DD88" w:rsidR="00F558B2" w:rsidRPr="00F558B2" w:rsidRDefault="00865178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11</w:t>
                  </w:r>
                  <w:r w:rsidR="000A161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66</w:t>
                  </w:r>
                  <w:r w:rsidR="00F558B2"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%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FBB130" w14:textId="6F6B802F" w:rsidR="00F558B2" w:rsidRPr="00F558B2" w:rsidRDefault="00865178" w:rsidP="00F558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5</w:t>
                  </w:r>
                  <w:r w:rsidR="000A161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.51</w:t>
                  </w:r>
                  <w:r w:rsidR="00F558B2" w:rsidRPr="00F558B2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AR"/>
                    </w:rPr>
                    <w:t>%</w:t>
                  </w:r>
                </w:p>
              </w:tc>
            </w:tr>
          </w:tbl>
          <w:p w14:paraId="325C07DD" w14:textId="0B5D4823" w:rsidR="00AD51B6" w:rsidRPr="00FD050A" w:rsidRDefault="00AD51B6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3CC1" w14:textId="77777777" w:rsid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14:paraId="04E5147D" w14:textId="77777777" w:rsidR="009A6F69" w:rsidRDefault="009A6F69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14:paraId="0FA67FC1" w14:textId="075C8EF5" w:rsidR="009A6F69" w:rsidRPr="00FD050A" w:rsidRDefault="009A6F69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DA1F" w14:textId="77777777" w:rsidR="00FD050A" w:rsidRP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83EC" w14:textId="77777777" w:rsidR="00FD050A" w:rsidRP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B21A" w14:textId="77777777" w:rsidR="00FD050A" w:rsidRP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6BB9" w14:textId="77777777" w:rsidR="00FD050A" w:rsidRP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2F4" w14:textId="77777777" w:rsidR="00FD050A" w:rsidRPr="00FD050A" w:rsidRDefault="00FD050A" w:rsidP="00FD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01926FBA" w14:textId="547D1795" w:rsidR="000F4421" w:rsidRDefault="000F4421" w:rsidP="00F72935">
      <w:pPr>
        <w:rPr>
          <w:noProof/>
        </w:rPr>
      </w:pPr>
    </w:p>
    <w:p w14:paraId="5DFE9661" w14:textId="4055E21B" w:rsidR="007A58CC" w:rsidRDefault="00484A4A" w:rsidP="00F72935">
      <w:pPr>
        <w:rPr>
          <w:noProof/>
        </w:rPr>
      </w:pPr>
      <w:r>
        <w:rPr>
          <w:noProof/>
        </w:rPr>
        <w:drawing>
          <wp:inline distT="0" distB="0" distL="0" distR="0" wp14:anchorId="39D00A10" wp14:editId="10E8D250">
            <wp:extent cx="5608320" cy="2743200"/>
            <wp:effectExtent l="0" t="0" r="1143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DA483A4-7466-4A42-A339-AB6F010B0E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7449C8" w14:textId="4ED8F358" w:rsidR="0008738E" w:rsidRDefault="0008738E" w:rsidP="00F72935">
      <w:pPr>
        <w:rPr>
          <w:noProof/>
        </w:rPr>
      </w:pPr>
    </w:p>
    <w:p w14:paraId="6C2B354F" w14:textId="73FC5E38" w:rsidR="000F4421" w:rsidRPr="000F4421" w:rsidRDefault="000F4421" w:rsidP="000F4421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s-AR"/>
        </w:rPr>
      </w:pPr>
      <w:r w:rsidRPr="000F4421">
        <w:rPr>
          <w:rFonts w:ascii="Calibri" w:eastAsia="Times New Roman" w:hAnsi="Calibri" w:cs="Calibri"/>
          <w:color w:val="000000"/>
          <w:sz w:val="18"/>
          <w:szCs w:val="18"/>
          <w:lang w:eastAsia="es-AR"/>
        </w:rPr>
        <w:t xml:space="preserve">VCP IEB ahorro clase </w:t>
      </w:r>
      <w:r w:rsidR="0008738E">
        <w:rPr>
          <w:rFonts w:ascii="Calibri" w:eastAsia="Times New Roman" w:hAnsi="Calibri" w:cs="Calibri"/>
          <w:color w:val="000000"/>
          <w:sz w:val="18"/>
          <w:szCs w:val="18"/>
          <w:lang w:eastAsia="es-AR"/>
        </w:rPr>
        <w:t>E</w:t>
      </w:r>
      <w:r w:rsidRPr="000F4421">
        <w:rPr>
          <w:rFonts w:ascii="Calibri" w:eastAsia="Times New Roman" w:hAnsi="Calibri" w:cs="Calibri"/>
          <w:color w:val="000000"/>
          <w:sz w:val="18"/>
          <w:szCs w:val="18"/>
          <w:lang w:eastAsia="es-AR"/>
        </w:rPr>
        <w:t xml:space="preserve"> </w:t>
      </w:r>
    </w:p>
    <w:p w14:paraId="289E1F9E" w14:textId="50A90265" w:rsidR="000F4421" w:rsidRDefault="000F4421" w:rsidP="00F72935"/>
    <w:p w14:paraId="7ECDCFB4" w14:textId="38A625A0" w:rsidR="000F4421" w:rsidRDefault="000F4421" w:rsidP="00F72935"/>
    <w:p w14:paraId="58FE4111" w14:textId="77777777" w:rsidR="000F4421" w:rsidRDefault="000F4421" w:rsidP="00F72935"/>
    <w:p w14:paraId="6EB84B88" w14:textId="376C5339" w:rsidR="00A93461" w:rsidRDefault="00A93461" w:rsidP="00A93461">
      <w:pPr>
        <w:pStyle w:val="Prrafodelista"/>
        <w:numPr>
          <w:ilvl w:val="0"/>
          <w:numId w:val="2"/>
        </w:numPr>
      </w:pPr>
      <w:r>
        <w:t>RIESGO DE CREDITO</w:t>
      </w:r>
    </w:p>
    <w:p w14:paraId="51C18D7E" w14:textId="2620ECC9" w:rsidR="00A93461" w:rsidRDefault="00A93461" w:rsidP="00A93461">
      <w:r>
        <w:t>Se analiza la evolución de la calidad crediticia de la cartera del fondo.</w:t>
      </w:r>
    </w:p>
    <w:p w14:paraId="5828946A" w14:textId="607F0A89" w:rsidR="00AD51B6" w:rsidRDefault="00AD51B6" w:rsidP="00A93461">
      <w:r>
        <w:t xml:space="preserve">Calificación de riesgo del fondo IEB Ahorro: </w:t>
      </w:r>
      <w:proofErr w:type="spellStart"/>
      <w:r>
        <w:t>AAf</w:t>
      </w:r>
      <w:proofErr w:type="spellEnd"/>
      <w:r>
        <w:t xml:space="preserve"> (</w:t>
      </w:r>
      <w:proofErr w:type="spellStart"/>
      <w:r>
        <w:t>arg</w:t>
      </w:r>
      <w:proofErr w:type="spellEnd"/>
      <w:r>
        <w:t>) – FIX</w:t>
      </w:r>
    </w:p>
    <w:p w14:paraId="04C40BDB" w14:textId="4531A407" w:rsidR="00A421A5" w:rsidRDefault="00A421A5" w:rsidP="00A93461"/>
    <w:p w14:paraId="1CB28973" w14:textId="0CFD628B" w:rsidR="00AC75A4" w:rsidRDefault="00A421A5" w:rsidP="00A93461">
      <w:r>
        <w:rPr>
          <w:noProof/>
        </w:rPr>
        <w:drawing>
          <wp:inline distT="0" distB="0" distL="0" distR="0" wp14:anchorId="6FBA32C1" wp14:editId="3AC126E5">
            <wp:extent cx="4572000" cy="27432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89597F93-B518-4F57-A753-B8AA9EE029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7EE799" w14:textId="77777777" w:rsidR="00E947C3" w:rsidRDefault="00E947C3" w:rsidP="00A93461"/>
    <w:p w14:paraId="52D1A1C3" w14:textId="5FBD6415" w:rsidR="00A93461" w:rsidRDefault="00A93461" w:rsidP="00A93461">
      <w:pPr>
        <w:pStyle w:val="Prrafodelista"/>
        <w:numPr>
          <w:ilvl w:val="0"/>
          <w:numId w:val="2"/>
        </w:numPr>
      </w:pPr>
      <w:r>
        <w:t>RIESGO DE CONCENTRACION</w:t>
      </w:r>
    </w:p>
    <w:p w14:paraId="02B11ED1" w14:textId="2CA3F795" w:rsidR="002F3CB7" w:rsidRDefault="002F3CB7" w:rsidP="00B62AB7"/>
    <w:p w14:paraId="295DD377" w14:textId="714233A4" w:rsidR="002F3CB7" w:rsidRDefault="002F3CB7" w:rsidP="00B62AB7">
      <w:r>
        <w:t xml:space="preserve">Detalle de concentración de </w:t>
      </w:r>
      <w:proofErr w:type="spellStart"/>
      <w:r>
        <w:t>cuotapartistas</w:t>
      </w:r>
      <w:proofErr w:type="spellEnd"/>
      <w:r w:rsidR="005C6798">
        <w:t xml:space="preserve"> del fondo</w:t>
      </w:r>
    </w:p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60"/>
        <w:gridCol w:w="960"/>
        <w:gridCol w:w="960"/>
      </w:tblGrid>
      <w:tr w:rsidR="002F3CB7" w:rsidRPr="002F3CB7" w14:paraId="063641D9" w14:textId="77777777" w:rsidTr="002F3CB7">
        <w:trPr>
          <w:trHeight w:val="54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6B68" w14:textId="77777777" w:rsidR="002F3CB7" w:rsidRPr="002F3CB7" w:rsidRDefault="002F3CB7" w:rsidP="002F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385D" w14:textId="77777777" w:rsidR="002F3CB7" w:rsidRPr="002F3CB7" w:rsidRDefault="002F3CB7" w:rsidP="002F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Período</w:t>
            </w:r>
          </w:p>
        </w:tc>
      </w:tr>
      <w:tr w:rsidR="002F3CB7" w:rsidRPr="002F3CB7" w14:paraId="7B4FCF6A" w14:textId="77777777" w:rsidTr="002F3CB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D142" w14:textId="5D8D9EED" w:rsidR="002F3CB7" w:rsidRPr="002F3CB7" w:rsidRDefault="00D40028" w:rsidP="002F3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N.º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cuotapartistas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D05B" w14:textId="753F9BB1" w:rsidR="002F3CB7" w:rsidRPr="002F3CB7" w:rsidRDefault="005045BC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oct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04CE" w14:textId="7E32D974" w:rsidR="002F3CB7" w:rsidRPr="002F3CB7" w:rsidRDefault="005045BC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nov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332" w14:textId="7EC85D06" w:rsidR="002F3CB7" w:rsidRPr="002F3CB7" w:rsidRDefault="005045BC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dic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</w:tr>
      <w:tr w:rsidR="002F3CB7" w:rsidRPr="002F3CB7" w14:paraId="3548288A" w14:textId="77777777" w:rsidTr="002F3CB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15EF" w14:textId="77777777" w:rsidR="002F3CB7" w:rsidRPr="002F3CB7" w:rsidRDefault="002F3CB7" w:rsidP="002F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588C" w14:textId="11E1CD74" w:rsidR="002F3CB7" w:rsidRPr="002F3CB7" w:rsidRDefault="00D0485A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67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F42F" w14:textId="03DB7C71" w:rsidR="002F3CB7" w:rsidRPr="002F3CB7" w:rsidRDefault="00D10623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66</w:t>
            </w:r>
            <w:r w:rsidR="00D0485A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53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9CB1" w14:textId="71D006C7" w:rsidR="002F3CB7" w:rsidRPr="002F3CB7" w:rsidRDefault="00174BCA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  <w:r w:rsidR="00D0485A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26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  <w:tr w:rsidR="002F3CB7" w:rsidRPr="002F3CB7" w14:paraId="2DD6AFE0" w14:textId="77777777" w:rsidTr="002F3CB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01BD" w14:textId="77777777" w:rsidR="002F3CB7" w:rsidRPr="002F3CB7" w:rsidRDefault="002F3CB7" w:rsidP="002F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6DB3" w14:textId="7B91689C" w:rsidR="002F3CB7" w:rsidRPr="002F3CB7" w:rsidRDefault="00D0485A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.5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527" w14:textId="0020F1A6" w:rsidR="002F3CB7" w:rsidRPr="002F3CB7" w:rsidRDefault="00D24753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  <w:r w:rsidR="00D0485A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09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CF0" w14:textId="2286F267" w:rsidR="002F3CB7" w:rsidRPr="002F3CB7" w:rsidRDefault="00D10623" w:rsidP="00D048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93.77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  <w:tr w:rsidR="002F3CB7" w:rsidRPr="002F3CB7" w14:paraId="1520F6AD" w14:textId="77777777" w:rsidTr="002F3CB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F24D" w14:textId="77777777" w:rsidR="002F3CB7" w:rsidRPr="002F3CB7" w:rsidRDefault="002F3CB7" w:rsidP="002F3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4A36" w14:textId="181DBF64" w:rsidR="002F3CB7" w:rsidRPr="002F3CB7" w:rsidRDefault="00D0485A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93.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FC71" w14:textId="32AAC079" w:rsidR="002F3CB7" w:rsidRPr="002F3CB7" w:rsidRDefault="007C7826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  <w:r w:rsidR="00D0485A">
              <w:rPr>
                <w:rFonts w:ascii="Calibri" w:eastAsia="Times New Roman" w:hAnsi="Calibri" w:cs="Calibri"/>
                <w:color w:val="000000"/>
                <w:lang w:eastAsia="es-AR"/>
              </w:rPr>
              <w:t>5.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5A96" w14:textId="507CC27A" w:rsidR="002F3CB7" w:rsidRPr="002F3CB7" w:rsidRDefault="002F3CB7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  <w:r w:rsidR="00D0485A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48</w:t>
            </w: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</w:tbl>
    <w:p w14:paraId="43C40EF7" w14:textId="77777777" w:rsidR="002F3CB7" w:rsidRDefault="002F3CB7" w:rsidP="00B62AB7"/>
    <w:p w14:paraId="47FCBD97" w14:textId="77777777" w:rsidR="002F3CB7" w:rsidRDefault="002F3CB7" w:rsidP="00B62AB7"/>
    <w:p w14:paraId="46072555" w14:textId="2238AE82" w:rsidR="00B62AB7" w:rsidRDefault="002F3CB7" w:rsidP="00B62AB7">
      <w:r>
        <w:t xml:space="preserve">Dentro de los principales </w:t>
      </w:r>
      <w:proofErr w:type="spellStart"/>
      <w:r>
        <w:t>cuotapartistas</w:t>
      </w:r>
      <w:proofErr w:type="spellEnd"/>
      <w:r>
        <w:t xml:space="preserve"> se encuentra </w:t>
      </w:r>
      <w:r w:rsidR="00B62AB7">
        <w:t>el ADCI – Invertir en Bolsa S.A</w:t>
      </w:r>
      <w:r w:rsidR="00336D97">
        <w:t>.</w:t>
      </w:r>
      <w:r w:rsidR="00B62AB7">
        <w:t xml:space="preserve"> </w:t>
      </w:r>
      <w:r w:rsidR="00336D97">
        <w:t>A</w:t>
      </w:r>
      <w:r w:rsidR="00B62AB7">
        <w:t>nalizamos la concentración del mismo.</w:t>
      </w:r>
    </w:p>
    <w:p w14:paraId="4BEFF28E" w14:textId="350BA2D3" w:rsidR="00B62AB7" w:rsidRDefault="002F3CB7" w:rsidP="002F3CB7">
      <w:r>
        <w:tab/>
      </w:r>
      <w:r>
        <w:tab/>
      </w:r>
    </w:p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60"/>
        <w:gridCol w:w="960"/>
        <w:gridCol w:w="960"/>
      </w:tblGrid>
      <w:tr w:rsidR="002F3CB7" w:rsidRPr="002F3CB7" w14:paraId="466333E7" w14:textId="77777777" w:rsidTr="002F3CB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D35" w14:textId="77777777" w:rsidR="002F3CB7" w:rsidRPr="002F3CB7" w:rsidRDefault="002F3CB7" w:rsidP="002F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2F99" w14:textId="5C11FFA8" w:rsidR="002F3CB7" w:rsidRPr="002F3CB7" w:rsidRDefault="005045BC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oct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D627" w14:textId="712CC2D8" w:rsidR="002F3CB7" w:rsidRPr="002F3CB7" w:rsidRDefault="005045BC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nov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5A47" w14:textId="5BB1F321" w:rsidR="002F3CB7" w:rsidRPr="002F3CB7" w:rsidRDefault="005045BC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dic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</w:tr>
      <w:tr w:rsidR="002F3CB7" w:rsidRPr="002F3CB7" w14:paraId="7F0AEBA5" w14:textId="77777777" w:rsidTr="002F3CB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426" w14:textId="77777777" w:rsidR="002F3CB7" w:rsidRPr="002F3CB7" w:rsidRDefault="002F3CB7" w:rsidP="002F3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ACDI IEB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20D7" w14:textId="304C104D" w:rsidR="002F3CB7" w:rsidRPr="002F3CB7" w:rsidRDefault="00E138A7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D10623">
              <w:rPr>
                <w:rFonts w:ascii="Calibri" w:eastAsia="Times New Roman" w:hAnsi="Calibri" w:cs="Calibri"/>
                <w:color w:val="000000"/>
                <w:lang w:eastAsia="es-AR"/>
              </w:rPr>
              <w:t>67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9552" w14:textId="32BBE32E" w:rsidR="002F3CB7" w:rsidRPr="002F3CB7" w:rsidRDefault="00D10623" w:rsidP="00F8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66</w:t>
            </w:r>
            <w:r w:rsidR="005045BC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53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53FC" w14:textId="4C95FEA5" w:rsidR="002F3CB7" w:rsidRPr="002F3CB7" w:rsidRDefault="00D10623" w:rsidP="002F3C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  <w:r w:rsidR="005045BC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26</w:t>
            </w:r>
            <w:r w:rsidR="002F3CB7" w:rsidRPr="002F3CB7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</w:tbl>
    <w:p w14:paraId="54F1C68E" w14:textId="5A5B1C50" w:rsidR="00D40028" w:rsidRDefault="00D40028" w:rsidP="00A93461"/>
    <w:tbl>
      <w:tblPr>
        <w:tblW w:w="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60"/>
        <w:gridCol w:w="960"/>
        <w:gridCol w:w="960"/>
      </w:tblGrid>
      <w:tr w:rsidR="00D40028" w:rsidRPr="00D40028" w14:paraId="57783A25" w14:textId="77777777" w:rsidTr="00D40028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EF9E" w14:textId="77777777" w:rsidR="00D40028" w:rsidRPr="00D40028" w:rsidRDefault="00D40028" w:rsidP="00D4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D8B6" w14:textId="77777777" w:rsidR="002C1A77" w:rsidRDefault="002C1A77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57FDBBBB" w14:textId="77777777" w:rsidR="002C1A77" w:rsidRDefault="002C1A77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78366122" w14:textId="77777777" w:rsidR="002C1A77" w:rsidRDefault="002C1A77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655A6241" w14:textId="3C17CD93" w:rsidR="00D40028" w:rsidRPr="00D40028" w:rsidRDefault="00D40028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ACDI IEB</w:t>
            </w:r>
          </w:p>
        </w:tc>
      </w:tr>
      <w:tr w:rsidR="00D40028" w:rsidRPr="00D40028" w14:paraId="7B213E8A" w14:textId="77777777" w:rsidTr="00D40028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71D0" w14:textId="10153491" w:rsidR="00D40028" w:rsidRPr="00D40028" w:rsidRDefault="00D40028" w:rsidP="00D4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N.º </w:t>
            </w:r>
            <w:proofErr w:type="spellStart"/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cuotapartistas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0044" w14:textId="4387A24C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oct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2A64" w14:textId="1099D965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nov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F135" w14:textId="1B4D7E49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dic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-2</w:t>
            </w:r>
            <w:r w:rsidR="003E058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</w:tr>
      <w:tr w:rsidR="00D40028" w:rsidRPr="00D40028" w14:paraId="63515454" w14:textId="77777777" w:rsidTr="00D40028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2E7E" w14:textId="77777777" w:rsidR="00D40028" w:rsidRPr="00D40028" w:rsidRDefault="00D40028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6313" w14:textId="462F7CAF" w:rsidR="00D40028" w:rsidRPr="00D40028" w:rsidRDefault="00D4002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  <w:r w:rsidR="007A7D9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  <w:r w:rsidR="00801768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7A7D98">
              <w:rPr>
                <w:rFonts w:ascii="Calibri" w:eastAsia="Times New Roman" w:hAnsi="Calibri" w:cs="Calibri"/>
                <w:color w:val="000000"/>
                <w:lang w:eastAsia="es-AR"/>
              </w:rPr>
              <w:t>58</w:t>
            </w: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BECC" w14:textId="0E2C3313" w:rsidR="00D40028" w:rsidRPr="00D40028" w:rsidRDefault="00AC6B8A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  <w:r w:rsidR="003819A8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 w:rsidR="00801768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3819A8">
              <w:rPr>
                <w:rFonts w:ascii="Calibri" w:eastAsia="Times New Roman" w:hAnsi="Calibri" w:cs="Calibri"/>
                <w:color w:val="000000"/>
                <w:lang w:eastAsia="es-AR"/>
              </w:rPr>
              <w:t>83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6B5A" w14:textId="373EF10C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  <w:r w:rsidR="00D1649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D1649F">
              <w:rPr>
                <w:rFonts w:ascii="Calibri" w:eastAsia="Times New Roman" w:hAnsi="Calibri" w:cs="Calibri"/>
                <w:color w:val="000000"/>
                <w:lang w:eastAsia="es-AR"/>
              </w:rPr>
              <w:t>27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  <w:tr w:rsidR="00D40028" w:rsidRPr="00D40028" w14:paraId="686B1A11" w14:textId="77777777" w:rsidTr="00D40028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0570" w14:textId="77777777" w:rsidR="00D40028" w:rsidRPr="00D40028" w:rsidRDefault="00D40028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7B3E" w14:textId="2EB22B35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  <w:r w:rsidR="007A7D98">
              <w:rPr>
                <w:rFonts w:ascii="Calibri" w:eastAsia="Times New Roman" w:hAnsi="Calibri" w:cs="Calibri"/>
                <w:color w:val="000000"/>
                <w:lang w:eastAsia="es-A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7A7D98">
              <w:rPr>
                <w:rFonts w:ascii="Calibri" w:eastAsia="Times New Roman" w:hAnsi="Calibri" w:cs="Calibri"/>
                <w:color w:val="000000"/>
                <w:lang w:eastAsia="es-AR"/>
              </w:rPr>
              <w:t>46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664" w14:textId="7C6F9667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  <w:r w:rsidR="003819A8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3819A8">
              <w:rPr>
                <w:rFonts w:ascii="Calibri" w:eastAsia="Times New Roman" w:hAnsi="Calibri" w:cs="Calibri"/>
                <w:color w:val="000000"/>
                <w:lang w:eastAsia="es-AR"/>
              </w:rPr>
              <w:t>65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87AF" w14:textId="555E2628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 w:rsidR="00D1649F">
              <w:rPr>
                <w:rFonts w:ascii="Calibri" w:eastAsia="Times New Roman" w:hAnsi="Calibri" w:cs="Calibri"/>
                <w:color w:val="000000"/>
                <w:lang w:eastAsia="es-A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.8</w:t>
            </w:r>
            <w:r w:rsidR="00D1649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  <w:tr w:rsidR="00D40028" w:rsidRPr="00D40028" w14:paraId="50043674" w14:textId="77777777" w:rsidTr="00D40028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E1AE" w14:textId="77777777" w:rsidR="00D40028" w:rsidRPr="00D40028" w:rsidRDefault="00D40028" w:rsidP="00D40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B271" w14:textId="50D661BE" w:rsidR="00D40028" w:rsidRPr="00D40028" w:rsidRDefault="007A7D9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59</w:t>
            </w:r>
            <w:r w:rsidR="00801768">
              <w:rPr>
                <w:rFonts w:ascii="Calibri" w:eastAsia="Times New Roman" w:hAnsi="Calibri" w:cs="Calibri"/>
                <w:color w:val="000000"/>
                <w:lang w:eastAsia="es-AR"/>
              </w:rPr>
              <w:t>.3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77FC" w14:textId="68154784" w:rsidR="00D40028" w:rsidRPr="00D40028" w:rsidRDefault="00801768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 w:rsidR="003819A8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="003819A8">
              <w:rPr>
                <w:rFonts w:ascii="Calibri" w:eastAsia="Times New Roman" w:hAnsi="Calibri" w:cs="Calibri"/>
                <w:color w:val="000000"/>
                <w:lang w:eastAsia="es-AR"/>
              </w:rPr>
              <w:t>53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DDB4" w14:textId="485923CB" w:rsidR="00D40028" w:rsidRPr="00D40028" w:rsidRDefault="00D1649F" w:rsidP="00D400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65</w:t>
            </w:r>
            <w:r w:rsidR="00801768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52</w:t>
            </w:r>
            <w:r w:rsidR="00D40028" w:rsidRPr="00D40028">
              <w:rPr>
                <w:rFonts w:ascii="Calibri" w:eastAsia="Times New Roman" w:hAnsi="Calibri" w:cs="Calibri"/>
                <w:color w:val="000000"/>
                <w:lang w:eastAsia="es-AR"/>
              </w:rPr>
              <w:t>%</w:t>
            </w:r>
          </w:p>
        </w:tc>
      </w:tr>
    </w:tbl>
    <w:p w14:paraId="745A0406" w14:textId="3C5947A7" w:rsidR="00D40028" w:rsidRDefault="00D40028" w:rsidP="00A93461"/>
    <w:p w14:paraId="481E93AE" w14:textId="77777777" w:rsidR="00D40028" w:rsidRDefault="00D40028" w:rsidP="00A93461"/>
    <w:sectPr w:rsidR="00D40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244B4"/>
    <w:multiLevelType w:val="hybridMultilevel"/>
    <w:tmpl w:val="5664A18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1255"/>
    <w:multiLevelType w:val="hybridMultilevel"/>
    <w:tmpl w:val="36FA956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0A2"/>
    <w:multiLevelType w:val="hybridMultilevel"/>
    <w:tmpl w:val="AB2C2696"/>
    <w:lvl w:ilvl="0" w:tplc="EB78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49"/>
    <w:rsid w:val="000368BB"/>
    <w:rsid w:val="000638F2"/>
    <w:rsid w:val="00066FC5"/>
    <w:rsid w:val="00075BD5"/>
    <w:rsid w:val="0008738E"/>
    <w:rsid w:val="000A0611"/>
    <w:rsid w:val="000A161C"/>
    <w:rsid w:val="000D10D5"/>
    <w:rsid w:val="000E42CE"/>
    <w:rsid w:val="000F4421"/>
    <w:rsid w:val="00110AB9"/>
    <w:rsid w:val="00111E5D"/>
    <w:rsid w:val="00122644"/>
    <w:rsid w:val="001255DE"/>
    <w:rsid w:val="0013311D"/>
    <w:rsid w:val="00174BCA"/>
    <w:rsid w:val="00197F5D"/>
    <w:rsid w:val="001A414B"/>
    <w:rsid w:val="00227151"/>
    <w:rsid w:val="00227EE4"/>
    <w:rsid w:val="002566A0"/>
    <w:rsid w:val="00272834"/>
    <w:rsid w:val="00275471"/>
    <w:rsid w:val="00284AA7"/>
    <w:rsid w:val="002A0BD9"/>
    <w:rsid w:val="002A1F50"/>
    <w:rsid w:val="002B431A"/>
    <w:rsid w:val="002C1A77"/>
    <w:rsid w:val="002C23E4"/>
    <w:rsid w:val="002F3CB7"/>
    <w:rsid w:val="002F637F"/>
    <w:rsid w:val="002F77E4"/>
    <w:rsid w:val="00302390"/>
    <w:rsid w:val="00336D97"/>
    <w:rsid w:val="00370EA3"/>
    <w:rsid w:val="00374BB8"/>
    <w:rsid w:val="003819A8"/>
    <w:rsid w:val="003A786C"/>
    <w:rsid w:val="003C4BB3"/>
    <w:rsid w:val="003E0587"/>
    <w:rsid w:val="003E7139"/>
    <w:rsid w:val="003E77E7"/>
    <w:rsid w:val="004156FF"/>
    <w:rsid w:val="004170BE"/>
    <w:rsid w:val="0042789D"/>
    <w:rsid w:val="00451D92"/>
    <w:rsid w:val="00484A4A"/>
    <w:rsid w:val="00496A17"/>
    <w:rsid w:val="004A72EE"/>
    <w:rsid w:val="004C4753"/>
    <w:rsid w:val="004F2CF1"/>
    <w:rsid w:val="005045BC"/>
    <w:rsid w:val="00511598"/>
    <w:rsid w:val="00522F5A"/>
    <w:rsid w:val="005234E1"/>
    <w:rsid w:val="00524A2F"/>
    <w:rsid w:val="00530996"/>
    <w:rsid w:val="00531318"/>
    <w:rsid w:val="005469F4"/>
    <w:rsid w:val="005A2723"/>
    <w:rsid w:val="005A64A0"/>
    <w:rsid w:val="005C2708"/>
    <w:rsid w:val="005C6798"/>
    <w:rsid w:val="005D3312"/>
    <w:rsid w:val="0069674F"/>
    <w:rsid w:val="00697942"/>
    <w:rsid w:val="006C4E27"/>
    <w:rsid w:val="006C6118"/>
    <w:rsid w:val="006F2294"/>
    <w:rsid w:val="007322A3"/>
    <w:rsid w:val="0076674E"/>
    <w:rsid w:val="00771A0C"/>
    <w:rsid w:val="00786ED3"/>
    <w:rsid w:val="007A58CC"/>
    <w:rsid w:val="007A7D98"/>
    <w:rsid w:val="007B755B"/>
    <w:rsid w:val="007C3B7E"/>
    <w:rsid w:val="007C7826"/>
    <w:rsid w:val="007D6329"/>
    <w:rsid w:val="00801768"/>
    <w:rsid w:val="00836804"/>
    <w:rsid w:val="00865178"/>
    <w:rsid w:val="0089448B"/>
    <w:rsid w:val="008A50C8"/>
    <w:rsid w:val="008A5185"/>
    <w:rsid w:val="008A7175"/>
    <w:rsid w:val="008F22E9"/>
    <w:rsid w:val="0091708B"/>
    <w:rsid w:val="009228FB"/>
    <w:rsid w:val="00970A58"/>
    <w:rsid w:val="00973437"/>
    <w:rsid w:val="009818C4"/>
    <w:rsid w:val="00990259"/>
    <w:rsid w:val="009A6F69"/>
    <w:rsid w:val="009B1D02"/>
    <w:rsid w:val="009B65DE"/>
    <w:rsid w:val="009C5E26"/>
    <w:rsid w:val="009D3311"/>
    <w:rsid w:val="009D61EB"/>
    <w:rsid w:val="009E32FB"/>
    <w:rsid w:val="00A148FA"/>
    <w:rsid w:val="00A307A7"/>
    <w:rsid w:val="00A421A5"/>
    <w:rsid w:val="00A76376"/>
    <w:rsid w:val="00A93461"/>
    <w:rsid w:val="00AB0016"/>
    <w:rsid w:val="00AB68EB"/>
    <w:rsid w:val="00AB7791"/>
    <w:rsid w:val="00AC6B8A"/>
    <w:rsid w:val="00AC75A4"/>
    <w:rsid w:val="00AD51B6"/>
    <w:rsid w:val="00AE0FAE"/>
    <w:rsid w:val="00B03384"/>
    <w:rsid w:val="00B1326C"/>
    <w:rsid w:val="00B22B45"/>
    <w:rsid w:val="00B2411D"/>
    <w:rsid w:val="00B27241"/>
    <w:rsid w:val="00B57173"/>
    <w:rsid w:val="00B62AB7"/>
    <w:rsid w:val="00B66079"/>
    <w:rsid w:val="00B91E42"/>
    <w:rsid w:val="00BB09ED"/>
    <w:rsid w:val="00BB5B52"/>
    <w:rsid w:val="00C34E83"/>
    <w:rsid w:val="00C76CF1"/>
    <w:rsid w:val="00C77336"/>
    <w:rsid w:val="00C80EC9"/>
    <w:rsid w:val="00C90E5E"/>
    <w:rsid w:val="00C92F3D"/>
    <w:rsid w:val="00CB75D3"/>
    <w:rsid w:val="00CF66A6"/>
    <w:rsid w:val="00D0485A"/>
    <w:rsid w:val="00D10623"/>
    <w:rsid w:val="00D1649F"/>
    <w:rsid w:val="00D24753"/>
    <w:rsid w:val="00D35239"/>
    <w:rsid w:val="00D40028"/>
    <w:rsid w:val="00D702FC"/>
    <w:rsid w:val="00D76639"/>
    <w:rsid w:val="00DE6C92"/>
    <w:rsid w:val="00DE7AD8"/>
    <w:rsid w:val="00E01864"/>
    <w:rsid w:val="00E12DBD"/>
    <w:rsid w:val="00E138A7"/>
    <w:rsid w:val="00E33731"/>
    <w:rsid w:val="00E365DA"/>
    <w:rsid w:val="00E3796A"/>
    <w:rsid w:val="00E47449"/>
    <w:rsid w:val="00E50893"/>
    <w:rsid w:val="00E61658"/>
    <w:rsid w:val="00E73199"/>
    <w:rsid w:val="00E947C3"/>
    <w:rsid w:val="00EA6877"/>
    <w:rsid w:val="00EE0CD8"/>
    <w:rsid w:val="00EE2448"/>
    <w:rsid w:val="00F20A55"/>
    <w:rsid w:val="00F216C1"/>
    <w:rsid w:val="00F558B2"/>
    <w:rsid w:val="00F72935"/>
    <w:rsid w:val="00F761E7"/>
    <w:rsid w:val="00F842FB"/>
    <w:rsid w:val="00F86C57"/>
    <w:rsid w:val="00FC64E8"/>
    <w:rsid w:val="00FD050A"/>
    <w:rsid w:val="00FD0F8F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FC64"/>
  <w15:chartTrackingRefBased/>
  <w15:docId w15:val="{F6DCEAEC-4E3A-478D-BD61-43AC495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Desktop\Ahorro%20MMK%20Stress%20Tes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Desktop\Ahorro%20MMK%20Stress%20Tes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Desktop\Ahorro%20MMK%20Stress%20Tes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Desktop\Ahorro%20MMK%20Stress%20Tes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Desktop\Ahorro%20MMK%20Stress%20Test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IEB-FS01\Compartidos\Fondos\IEB%20AHORRO\Informe%20de%20riesgos\stress%20test%204Q2024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AppData\Local\Temp\temp_0_20250205152521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ffitto\Desktop\Ahorro%20MMK%20Stress%20Test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Distribucion</a:t>
            </a:r>
            <a:r>
              <a:rPr lang="es-419" baseline="0"/>
              <a:t> por clase de Activo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98A-40F8-9601-87E7AD3529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98A-40F8-9601-87E7AD3529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98A-40F8-9601-87E7AD3529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98A-40F8-9601-87E7AD3529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98A-40F8-9601-87E7AD3529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Hoja1!$A$18:$A$22</c:f>
              <c:strCache>
                <c:ptCount val="5"/>
                <c:pt idx="0">
                  <c:v>Plazo Fijo Simple</c:v>
                </c:pt>
                <c:pt idx="1">
                  <c:v>Caucion</c:v>
                </c:pt>
                <c:pt idx="2">
                  <c:v>Plazo Fijo Precancelable</c:v>
                </c:pt>
                <c:pt idx="3">
                  <c:v>Cta. Cte. Remunerada</c:v>
                </c:pt>
                <c:pt idx="4">
                  <c:v>Caucion y Pase Colocador</c:v>
                </c:pt>
              </c:strCache>
            </c:strRef>
          </c:cat>
          <c:val>
            <c:numRef>
              <c:f>Hoja1!$B$18:$B$22</c:f>
              <c:numCache>
                <c:formatCode>0.00%</c:formatCode>
                <c:ptCount val="5"/>
                <c:pt idx="0">
                  <c:v>0.34460000000000002</c:v>
                </c:pt>
                <c:pt idx="1">
                  <c:v>0.1883</c:v>
                </c:pt>
                <c:pt idx="2">
                  <c:v>9.9000000000000005E-2</c:v>
                </c:pt>
                <c:pt idx="3">
                  <c:v>0.31489999999999996</c:v>
                </c:pt>
                <c:pt idx="4">
                  <c:v>5.3199999999999997E-2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98A-40F8-9601-87E7AD352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Principales depositos e inversiones por cliente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Hoja1!$A$34:$A$40</c:f>
              <c:strCache>
                <c:ptCount val="7"/>
                <c:pt idx="0">
                  <c:v>BACS Banco de Crédito y Securitización S.A.</c:v>
                </c:pt>
                <c:pt idx="1">
                  <c:v>BANCO HIPOTECARIO S.A.</c:v>
                </c:pt>
                <c:pt idx="2">
                  <c:v>BANCO PROVINCIA</c:v>
                </c:pt>
                <c:pt idx="3">
                  <c:v>BANCO INTERFINANZAS S.A.</c:v>
                </c:pt>
                <c:pt idx="4">
                  <c:v>SANTANDER</c:v>
                </c:pt>
                <c:pt idx="5">
                  <c:v>CMF</c:v>
                </c:pt>
                <c:pt idx="6">
                  <c:v>BBVA</c:v>
                </c:pt>
              </c:strCache>
            </c:strRef>
          </c:cat>
          <c:val>
            <c:numRef>
              <c:f>Hoja1!$B$34:$B$40</c:f>
              <c:numCache>
                <c:formatCode>0.00%</c:formatCode>
                <c:ptCount val="7"/>
                <c:pt idx="0">
                  <c:v>3.4799999999999998E-2</c:v>
                </c:pt>
                <c:pt idx="1">
                  <c:v>6.6299999999999998E-2</c:v>
                </c:pt>
                <c:pt idx="2">
                  <c:v>7.3300000000000004E-2</c:v>
                </c:pt>
                <c:pt idx="3">
                  <c:v>0.1066</c:v>
                </c:pt>
                <c:pt idx="4">
                  <c:v>0.17610000000000001</c:v>
                </c:pt>
                <c:pt idx="5">
                  <c:v>0.254</c:v>
                </c:pt>
                <c:pt idx="6">
                  <c:v>0.28889999999999999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63-409D-A45A-F36CE79C4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848271"/>
        <c:axId val="21857007"/>
      </c:barChart>
      <c:catAx>
        <c:axId val="21848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21857007"/>
        <c:crosses val="autoZero"/>
        <c:auto val="1"/>
        <c:lblAlgn val="ctr"/>
        <c:lblOffset val="100"/>
        <c:noMultiLvlLbl val="0"/>
      </c:catAx>
      <c:valAx>
        <c:axId val="21857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21848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 sz="1000" b="0" i="0" baseline="0">
                <a:effectLst/>
              </a:rPr>
              <a:t>Perfiles de vecimientos para la cartera a Octubre 2024 (en % del PN)</a:t>
            </a:r>
            <a:endParaRPr lang="es-419" sz="10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Hoja1!$A$66:$A$70</c:f>
              <c:strCache>
                <c:ptCount val="5"/>
                <c:pt idx="0">
                  <c:v>T+0</c:v>
                </c:pt>
                <c:pt idx="1">
                  <c:v>T&lt;7</c:v>
                </c:pt>
                <c:pt idx="2">
                  <c:v>T&lt;15</c:v>
                </c:pt>
                <c:pt idx="3">
                  <c:v>T&lt;30</c:v>
                </c:pt>
                <c:pt idx="4">
                  <c:v>&gt;T+30</c:v>
                </c:pt>
              </c:strCache>
            </c:strRef>
          </c:cat>
          <c:val>
            <c:numRef>
              <c:f>Hoja1!$B$66:$B$70</c:f>
              <c:numCache>
                <c:formatCode>0%</c:formatCode>
                <c:ptCount val="5"/>
                <c:pt idx="0">
                  <c:v>0.41320000000000001</c:v>
                </c:pt>
                <c:pt idx="1">
                  <c:v>0</c:v>
                </c:pt>
                <c:pt idx="2">
                  <c:v>0.1048</c:v>
                </c:pt>
                <c:pt idx="3">
                  <c:v>0.14940000000000001</c:v>
                </c:pt>
                <c:pt idx="4">
                  <c:v>0.1714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3B-42AF-B1FF-DC81D2B060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8478895"/>
        <c:axId val="908473487"/>
      </c:barChart>
      <c:catAx>
        <c:axId val="908478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908473487"/>
        <c:crosses val="autoZero"/>
        <c:auto val="1"/>
        <c:lblAlgn val="ctr"/>
        <c:lblOffset val="100"/>
        <c:noMultiLvlLbl val="0"/>
      </c:catAx>
      <c:valAx>
        <c:axId val="908473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9084788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 sz="900" b="0" i="0" baseline="0">
                <a:effectLst/>
              </a:rPr>
              <a:t>Perfiles de vecimientos para la cartera a Noviembre 2024 (en % del PN)</a:t>
            </a:r>
            <a:endParaRPr lang="es-419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Hoja1!$A$60:$A$64</c:f>
              <c:strCache>
                <c:ptCount val="5"/>
                <c:pt idx="0">
                  <c:v>T+0</c:v>
                </c:pt>
                <c:pt idx="1">
                  <c:v>T&lt;7</c:v>
                </c:pt>
                <c:pt idx="2">
                  <c:v>T&lt;15</c:v>
                </c:pt>
                <c:pt idx="3">
                  <c:v>T&lt;30</c:v>
                </c:pt>
                <c:pt idx="4">
                  <c:v>&gt;T+30</c:v>
                </c:pt>
              </c:strCache>
            </c:strRef>
          </c:cat>
          <c:val>
            <c:numRef>
              <c:f>Hoja1!$B$60:$B$64</c:f>
              <c:numCache>
                <c:formatCode>0%</c:formatCode>
                <c:ptCount val="5"/>
                <c:pt idx="0">
                  <c:v>0.26</c:v>
                </c:pt>
                <c:pt idx="1">
                  <c:v>2.8799999999999999E-2</c:v>
                </c:pt>
                <c:pt idx="2">
                  <c:v>0.1333</c:v>
                </c:pt>
                <c:pt idx="3">
                  <c:v>0.31519999999999998</c:v>
                </c:pt>
                <c:pt idx="4">
                  <c:v>9.2499999999999999E-2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4A-4101-AB81-4F38E3E45D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5030719"/>
        <c:axId val="825026143"/>
      </c:barChart>
      <c:catAx>
        <c:axId val="825030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825026143"/>
        <c:crosses val="autoZero"/>
        <c:auto val="1"/>
        <c:lblAlgn val="ctr"/>
        <c:lblOffset val="100"/>
        <c:noMultiLvlLbl val="0"/>
      </c:catAx>
      <c:valAx>
        <c:axId val="825026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825030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 sz="900" b="0" i="0" baseline="0">
                <a:effectLst/>
              </a:rPr>
              <a:t>Perfiles de vecimientos para la cartera a diciembre 2024 (en % del PN)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Hoja1!$A$54:$A$58</c:f>
              <c:strCache>
                <c:ptCount val="5"/>
                <c:pt idx="0">
                  <c:v>T+0</c:v>
                </c:pt>
                <c:pt idx="1">
                  <c:v>T&lt;7</c:v>
                </c:pt>
                <c:pt idx="2">
                  <c:v>T&lt;15</c:v>
                </c:pt>
                <c:pt idx="3">
                  <c:v>T&lt;30</c:v>
                </c:pt>
                <c:pt idx="4">
                  <c:v>&gt;T+30</c:v>
                </c:pt>
              </c:strCache>
            </c:strRef>
          </c:cat>
          <c:val>
            <c:numRef>
              <c:f>Hoja1!$B$54:$B$58</c:f>
              <c:numCache>
                <c:formatCode>0%</c:formatCode>
                <c:ptCount val="5"/>
                <c:pt idx="0">
                  <c:v>0.31489999999999996</c:v>
                </c:pt>
                <c:pt idx="1">
                  <c:v>0</c:v>
                </c:pt>
                <c:pt idx="2">
                  <c:v>3.8800000000000001E-2</c:v>
                </c:pt>
                <c:pt idx="3">
                  <c:v>0.46279999999999999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50-4E32-9A5D-F6120FE83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6778031"/>
        <c:axId val="756780943"/>
      </c:barChart>
      <c:catAx>
        <c:axId val="756778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756780943"/>
        <c:crosses val="autoZero"/>
        <c:auto val="1"/>
        <c:lblAlgn val="ctr"/>
        <c:lblOffset val="100"/>
        <c:noMultiLvlLbl val="0"/>
      </c:catAx>
      <c:valAx>
        <c:axId val="756780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756778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Suscrip - Rescat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Hoja1!$D$6:$D$64</c:f>
              <c:numCache>
                <c:formatCode>m/d/yyyy</c:formatCode>
                <c:ptCount val="59"/>
                <c:pt idx="0">
                  <c:v>45567</c:v>
                </c:pt>
                <c:pt idx="1">
                  <c:v>45568</c:v>
                </c:pt>
                <c:pt idx="2">
                  <c:v>45569</c:v>
                </c:pt>
                <c:pt idx="3">
                  <c:v>45572</c:v>
                </c:pt>
                <c:pt idx="4">
                  <c:v>45573</c:v>
                </c:pt>
                <c:pt idx="5">
                  <c:v>45574</c:v>
                </c:pt>
                <c:pt idx="6">
                  <c:v>45575</c:v>
                </c:pt>
                <c:pt idx="7">
                  <c:v>45579</c:v>
                </c:pt>
                <c:pt idx="8">
                  <c:v>45580</c:v>
                </c:pt>
                <c:pt idx="9">
                  <c:v>45581</c:v>
                </c:pt>
                <c:pt idx="10">
                  <c:v>45582</c:v>
                </c:pt>
                <c:pt idx="11">
                  <c:v>45583</c:v>
                </c:pt>
                <c:pt idx="12">
                  <c:v>45586</c:v>
                </c:pt>
                <c:pt idx="13">
                  <c:v>45587</c:v>
                </c:pt>
                <c:pt idx="14">
                  <c:v>45588</c:v>
                </c:pt>
                <c:pt idx="15">
                  <c:v>45589</c:v>
                </c:pt>
                <c:pt idx="16">
                  <c:v>45590</c:v>
                </c:pt>
                <c:pt idx="17">
                  <c:v>45593</c:v>
                </c:pt>
                <c:pt idx="18">
                  <c:v>45594</c:v>
                </c:pt>
                <c:pt idx="19">
                  <c:v>45595</c:v>
                </c:pt>
                <c:pt idx="20">
                  <c:v>45596</c:v>
                </c:pt>
                <c:pt idx="21">
                  <c:v>45597</c:v>
                </c:pt>
                <c:pt idx="22">
                  <c:v>45600</c:v>
                </c:pt>
                <c:pt idx="23">
                  <c:v>45601</c:v>
                </c:pt>
                <c:pt idx="24">
                  <c:v>45603</c:v>
                </c:pt>
                <c:pt idx="25">
                  <c:v>45604</c:v>
                </c:pt>
                <c:pt idx="26">
                  <c:v>45607</c:v>
                </c:pt>
                <c:pt idx="27">
                  <c:v>45608</c:v>
                </c:pt>
                <c:pt idx="28">
                  <c:v>45609</c:v>
                </c:pt>
                <c:pt idx="29">
                  <c:v>45610</c:v>
                </c:pt>
                <c:pt idx="30">
                  <c:v>45611</c:v>
                </c:pt>
                <c:pt idx="31">
                  <c:v>45615</c:v>
                </c:pt>
                <c:pt idx="32">
                  <c:v>45616</c:v>
                </c:pt>
                <c:pt idx="33">
                  <c:v>45617</c:v>
                </c:pt>
                <c:pt idx="34">
                  <c:v>45618</c:v>
                </c:pt>
                <c:pt idx="35">
                  <c:v>45621</c:v>
                </c:pt>
                <c:pt idx="36">
                  <c:v>45622</c:v>
                </c:pt>
                <c:pt idx="37">
                  <c:v>45623</c:v>
                </c:pt>
                <c:pt idx="38">
                  <c:v>45624</c:v>
                </c:pt>
                <c:pt idx="39">
                  <c:v>45625</c:v>
                </c:pt>
                <c:pt idx="40">
                  <c:v>45628</c:v>
                </c:pt>
                <c:pt idx="41">
                  <c:v>45629</c:v>
                </c:pt>
                <c:pt idx="42">
                  <c:v>45630</c:v>
                </c:pt>
                <c:pt idx="43">
                  <c:v>45631</c:v>
                </c:pt>
                <c:pt idx="44">
                  <c:v>45632</c:v>
                </c:pt>
                <c:pt idx="45">
                  <c:v>45635</c:v>
                </c:pt>
                <c:pt idx="46">
                  <c:v>45636</c:v>
                </c:pt>
                <c:pt idx="47">
                  <c:v>45637</c:v>
                </c:pt>
                <c:pt idx="48">
                  <c:v>45638</c:v>
                </c:pt>
                <c:pt idx="49">
                  <c:v>45639</c:v>
                </c:pt>
                <c:pt idx="50">
                  <c:v>45642</c:v>
                </c:pt>
                <c:pt idx="51">
                  <c:v>45643</c:v>
                </c:pt>
                <c:pt idx="52">
                  <c:v>45644</c:v>
                </c:pt>
                <c:pt idx="53">
                  <c:v>45645</c:v>
                </c:pt>
                <c:pt idx="54">
                  <c:v>45646</c:v>
                </c:pt>
                <c:pt idx="55">
                  <c:v>45649</c:v>
                </c:pt>
                <c:pt idx="56">
                  <c:v>45652</c:v>
                </c:pt>
                <c:pt idx="57">
                  <c:v>45653</c:v>
                </c:pt>
                <c:pt idx="58">
                  <c:v>45656</c:v>
                </c:pt>
              </c:numCache>
            </c:numRef>
          </c:cat>
          <c:val>
            <c:numRef>
              <c:f>Hoja1!$H$6:$H$64</c:f>
              <c:numCache>
                <c:formatCode>0.00%</c:formatCode>
                <c:ptCount val="59"/>
                <c:pt idx="0">
                  <c:v>8.9575384660557797E-2</c:v>
                </c:pt>
                <c:pt idx="1">
                  <c:v>-0.18404958245831871</c:v>
                </c:pt>
                <c:pt idx="2">
                  <c:v>-4.4244071623187768E-2</c:v>
                </c:pt>
                <c:pt idx="3">
                  <c:v>-8.3598449295294544E-2</c:v>
                </c:pt>
                <c:pt idx="4">
                  <c:v>9.5645407464544835E-2</c:v>
                </c:pt>
                <c:pt idx="5">
                  <c:v>3.3549428043698239E-2</c:v>
                </c:pt>
                <c:pt idx="6">
                  <c:v>1.3790013909857372E-2</c:v>
                </c:pt>
                <c:pt idx="7">
                  <c:v>2.77875616417999E-2</c:v>
                </c:pt>
                <c:pt idx="8">
                  <c:v>0.21498780644334567</c:v>
                </c:pt>
                <c:pt idx="9">
                  <c:v>3.0283610111917221E-2</c:v>
                </c:pt>
                <c:pt idx="10">
                  <c:v>-3.8890683827379993E-2</c:v>
                </c:pt>
                <c:pt idx="11">
                  <c:v>-0.3134481594977106</c:v>
                </c:pt>
                <c:pt idx="12">
                  <c:v>0.175221330090161</c:v>
                </c:pt>
                <c:pt idx="13">
                  <c:v>2.3135938777223308E-2</c:v>
                </c:pt>
                <c:pt idx="14">
                  <c:v>-0.12172450724095221</c:v>
                </c:pt>
                <c:pt idx="15">
                  <c:v>0.13638144908274491</c:v>
                </c:pt>
                <c:pt idx="16">
                  <c:v>2.5819699652683867E-2</c:v>
                </c:pt>
                <c:pt idx="17">
                  <c:v>-0.23243192996971521</c:v>
                </c:pt>
                <c:pt idx="18">
                  <c:v>7.414545791357903E-2</c:v>
                </c:pt>
                <c:pt idx="19">
                  <c:v>-0.11968627183702896</c:v>
                </c:pt>
                <c:pt idx="20">
                  <c:v>0.16717737980337505</c:v>
                </c:pt>
                <c:pt idx="21">
                  <c:v>-0.14665008441666266</c:v>
                </c:pt>
                <c:pt idx="22">
                  <c:v>0.15098364116651639</c:v>
                </c:pt>
                <c:pt idx="23">
                  <c:v>1.0587598030004261E-2</c:v>
                </c:pt>
                <c:pt idx="24">
                  <c:v>-9.2326287416483313E-2</c:v>
                </c:pt>
                <c:pt idx="25">
                  <c:v>-0.30498016884631679</c:v>
                </c:pt>
                <c:pt idx="26">
                  <c:v>0.11108071806255336</c:v>
                </c:pt>
                <c:pt idx="27">
                  <c:v>0.26040621294998512</c:v>
                </c:pt>
                <c:pt idx="28">
                  <c:v>1.1003093451366569E-2</c:v>
                </c:pt>
                <c:pt idx="29">
                  <c:v>-1.4216375423438008E-2</c:v>
                </c:pt>
                <c:pt idx="30">
                  <c:v>0.1662888605342821</c:v>
                </c:pt>
                <c:pt idx="31">
                  <c:v>-0.19185226016945517</c:v>
                </c:pt>
                <c:pt idx="32">
                  <c:v>-0.23589175130588499</c:v>
                </c:pt>
                <c:pt idx="33">
                  <c:v>1.830611420463734E-2</c:v>
                </c:pt>
                <c:pt idx="34">
                  <c:v>1.8625160968720564E-2</c:v>
                </c:pt>
                <c:pt idx="35">
                  <c:v>-6.814822700671419E-2</c:v>
                </c:pt>
                <c:pt idx="36">
                  <c:v>0.19382639725415318</c:v>
                </c:pt>
                <c:pt idx="37">
                  <c:v>-5.0286091849185482E-3</c:v>
                </c:pt>
                <c:pt idx="38">
                  <c:v>-0.21336008507020959</c:v>
                </c:pt>
                <c:pt idx="39">
                  <c:v>-9.5150512522811065E-2</c:v>
                </c:pt>
                <c:pt idx="40">
                  <c:v>-2.2934538146254718E-2</c:v>
                </c:pt>
                <c:pt idx="41">
                  <c:v>0.1378329714717095</c:v>
                </c:pt>
                <c:pt idx="42">
                  <c:v>-6.0963767982644815E-2</c:v>
                </c:pt>
                <c:pt idx="43">
                  <c:v>2.6007110727067028E-2</c:v>
                </c:pt>
                <c:pt idx="44">
                  <c:v>-0.1910245511751236</c:v>
                </c:pt>
                <c:pt idx="45">
                  <c:v>-1.8700928584170416E-2</c:v>
                </c:pt>
                <c:pt idx="46">
                  <c:v>0.1583643446185348</c:v>
                </c:pt>
                <c:pt idx="47">
                  <c:v>7.0867322055155446E-2</c:v>
                </c:pt>
                <c:pt idx="48">
                  <c:v>0.17703343235178209</c:v>
                </c:pt>
                <c:pt idx="49">
                  <c:v>1.7171351134173327E-2</c:v>
                </c:pt>
                <c:pt idx="50">
                  <c:v>-0.21157721801112703</c:v>
                </c:pt>
                <c:pt idx="51">
                  <c:v>-3.4322918968589924E-2</c:v>
                </c:pt>
                <c:pt idx="52">
                  <c:v>0.11515873880156091</c:v>
                </c:pt>
                <c:pt idx="53">
                  <c:v>9.5137734464997112E-2</c:v>
                </c:pt>
                <c:pt idx="54">
                  <c:v>0.16624430984559185</c:v>
                </c:pt>
                <c:pt idx="55">
                  <c:v>-0.17982425748652353</c:v>
                </c:pt>
                <c:pt idx="56">
                  <c:v>-0.27987480036139689</c:v>
                </c:pt>
                <c:pt idx="57">
                  <c:v>0.1130757002598526</c:v>
                </c:pt>
                <c:pt idx="58">
                  <c:v>-0.14289341252125479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98-4ED8-A1EA-5CA9BDCAA81F}"/>
            </c:ext>
          </c:extLst>
        </c:ser>
        <c:ser>
          <c:idx val="1"/>
          <c:order val="1"/>
          <c:tx>
            <c:v>Margen de Liquidez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Hoja1!$D$6:$D$64</c:f>
              <c:numCache>
                <c:formatCode>m/d/yyyy</c:formatCode>
                <c:ptCount val="59"/>
                <c:pt idx="0">
                  <c:v>45567</c:v>
                </c:pt>
                <c:pt idx="1">
                  <c:v>45568</c:v>
                </c:pt>
                <c:pt idx="2">
                  <c:v>45569</c:v>
                </c:pt>
                <c:pt idx="3">
                  <c:v>45572</c:v>
                </c:pt>
                <c:pt idx="4">
                  <c:v>45573</c:v>
                </c:pt>
                <c:pt idx="5">
                  <c:v>45574</c:v>
                </c:pt>
                <c:pt idx="6">
                  <c:v>45575</c:v>
                </c:pt>
                <c:pt idx="7">
                  <c:v>45579</c:v>
                </c:pt>
                <c:pt idx="8">
                  <c:v>45580</c:v>
                </c:pt>
                <c:pt idx="9">
                  <c:v>45581</c:v>
                </c:pt>
                <c:pt idx="10">
                  <c:v>45582</c:v>
                </c:pt>
                <c:pt idx="11">
                  <c:v>45583</c:v>
                </c:pt>
                <c:pt idx="12">
                  <c:v>45586</c:v>
                </c:pt>
                <c:pt idx="13">
                  <c:v>45587</c:v>
                </c:pt>
                <c:pt idx="14">
                  <c:v>45588</c:v>
                </c:pt>
                <c:pt idx="15">
                  <c:v>45589</c:v>
                </c:pt>
                <c:pt idx="16">
                  <c:v>45590</c:v>
                </c:pt>
                <c:pt idx="17">
                  <c:v>45593</c:v>
                </c:pt>
                <c:pt idx="18">
                  <c:v>45594</c:v>
                </c:pt>
                <c:pt idx="19">
                  <c:v>45595</c:v>
                </c:pt>
                <c:pt idx="20">
                  <c:v>45596</c:v>
                </c:pt>
                <c:pt idx="21">
                  <c:v>45597</c:v>
                </c:pt>
                <c:pt idx="22">
                  <c:v>45600</c:v>
                </c:pt>
                <c:pt idx="23">
                  <c:v>45601</c:v>
                </c:pt>
                <c:pt idx="24">
                  <c:v>45603</c:v>
                </c:pt>
                <c:pt idx="25">
                  <c:v>45604</c:v>
                </c:pt>
                <c:pt idx="26">
                  <c:v>45607</c:v>
                </c:pt>
                <c:pt idx="27">
                  <c:v>45608</c:v>
                </c:pt>
                <c:pt idx="28">
                  <c:v>45609</c:v>
                </c:pt>
                <c:pt idx="29">
                  <c:v>45610</c:v>
                </c:pt>
                <c:pt idx="30">
                  <c:v>45611</c:v>
                </c:pt>
                <c:pt idx="31">
                  <c:v>45615</c:v>
                </c:pt>
                <c:pt idx="32">
                  <c:v>45616</c:v>
                </c:pt>
                <c:pt idx="33">
                  <c:v>45617</c:v>
                </c:pt>
                <c:pt idx="34">
                  <c:v>45618</c:v>
                </c:pt>
                <c:pt idx="35">
                  <c:v>45621</c:v>
                </c:pt>
                <c:pt idx="36">
                  <c:v>45622</c:v>
                </c:pt>
                <c:pt idx="37">
                  <c:v>45623</c:v>
                </c:pt>
                <c:pt idx="38">
                  <c:v>45624</c:v>
                </c:pt>
                <c:pt idx="39">
                  <c:v>45625</c:v>
                </c:pt>
                <c:pt idx="40">
                  <c:v>45628</c:v>
                </c:pt>
                <c:pt idx="41">
                  <c:v>45629</c:v>
                </c:pt>
                <c:pt idx="42">
                  <c:v>45630</c:v>
                </c:pt>
                <c:pt idx="43">
                  <c:v>45631</c:v>
                </c:pt>
                <c:pt idx="44">
                  <c:v>45632</c:v>
                </c:pt>
                <c:pt idx="45">
                  <c:v>45635</c:v>
                </c:pt>
                <c:pt idx="46">
                  <c:v>45636</c:v>
                </c:pt>
                <c:pt idx="47">
                  <c:v>45637</c:v>
                </c:pt>
                <c:pt idx="48">
                  <c:v>45638</c:v>
                </c:pt>
                <c:pt idx="49">
                  <c:v>45639</c:v>
                </c:pt>
                <c:pt idx="50">
                  <c:v>45642</c:v>
                </c:pt>
                <c:pt idx="51">
                  <c:v>45643</c:v>
                </c:pt>
                <c:pt idx="52">
                  <c:v>45644</c:v>
                </c:pt>
                <c:pt idx="53">
                  <c:v>45645</c:v>
                </c:pt>
                <c:pt idx="54">
                  <c:v>45646</c:v>
                </c:pt>
                <c:pt idx="55">
                  <c:v>45649</c:v>
                </c:pt>
                <c:pt idx="56">
                  <c:v>45652</c:v>
                </c:pt>
                <c:pt idx="57">
                  <c:v>45653</c:v>
                </c:pt>
                <c:pt idx="58">
                  <c:v>45656</c:v>
                </c:pt>
              </c:numCache>
            </c:numRef>
          </c:cat>
          <c:val>
            <c:numRef>
              <c:f>Hoja1!$I$6:$I$64</c:f>
              <c:numCache>
                <c:formatCode>0.00%</c:formatCode>
                <c:ptCount val="59"/>
                <c:pt idx="0">
                  <c:v>0.50249999999999995</c:v>
                </c:pt>
                <c:pt idx="1">
                  <c:v>0.501</c:v>
                </c:pt>
                <c:pt idx="2">
                  <c:v>0.51339999999999997</c:v>
                </c:pt>
                <c:pt idx="3">
                  <c:v>0.5202</c:v>
                </c:pt>
                <c:pt idx="4">
                  <c:v>0.55059999999999998</c:v>
                </c:pt>
                <c:pt idx="5">
                  <c:v>0.54779999999999995</c:v>
                </c:pt>
                <c:pt idx="6">
                  <c:v>0.59870000000000001</c:v>
                </c:pt>
                <c:pt idx="7">
                  <c:v>0.56379999999999997</c:v>
                </c:pt>
                <c:pt idx="8">
                  <c:v>0.56230000000000002</c:v>
                </c:pt>
                <c:pt idx="9">
                  <c:v>0.59319999999999995</c:v>
                </c:pt>
                <c:pt idx="10">
                  <c:v>0.51670000000000005</c:v>
                </c:pt>
                <c:pt idx="11">
                  <c:v>0.5071</c:v>
                </c:pt>
                <c:pt idx="12">
                  <c:v>0.52210000000000001</c:v>
                </c:pt>
                <c:pt idx="13">
                  <c:v>0.57989999999999997</c:v>
                </c:pt>
                <c:pt idx="14">
                  <c:v>0.55420000000000003</c:v>
                </c:pt>
                <c:pt idx="15">
                  <c:v>0.54010000000000002</c:v>
                </c:pt>
                <c:pt idx="16">
                  <c:v>0.55600000000000005</c:v>
                </c:pt>
                <c:pt idx="17">
                  <c:v>0.50351333333333304</c:v>
                </c:pt>
                <c:pt idx="18">
                  <c:v>0.58560000000000001</c:v>
                </c:pt>
                <c:pt idx="19">
                  <c:v>0.53580000000000005</c:v>
                </c:pt>
                <c:pt idx="20">
                  <c:v>0.55689999999999995</c:v>
                </c:pt>
                <c:pt idx="21">
                  <c:v>0.52180000000000004</c:v>
                </c:pt>
                <c:pt idx="22">
                  <c:v>0.59019999999999995</c:v>
                </c:pt>
                <c:pt idx="23">
                  <c:v>0.5806</c:v>
                </c:pt>
                <c:pt idx="24">
                  <c:v>0.56910000000000005</c:v>
                </c:pt>
                <c:pt idx="25">
                  <c:v>0.51049999999999995</c:v>
                </c:pt>
                <c:pt idx="26">
                  <c:v>0.56540000000000001</c:v>
                </c:pt>
                <c:pt idx="27">
                  <c:v>0.59330000000000005</c:v>
                </c:pt>
                <c:pt idx="28">
                  <c:v>0.58240000000000003</c:v>
                </c:pt>
                <c:pt idx="29">
                  <c:v>0.58179999999999998</c:v>
                </c:pt>
                <c:pt idx="30">
                  <c:v>0.60050000000000003</c:v>
                </c:pt>
                <c:pt idx="31">
                  <c:v>0.5373</c:v>
                </c:pt>
                <c:pt idx="32">
                  <c:v>0.50249999999999995</c:v>
                </c:pt>
                <c:pt idx="33">
                  <c:v>0.50580000000000003</c:v>
                </c:pt>
                <c:pt idx="34">
                  <c:v>0.50739999999999996</c:v>
                </c:pt>
                <c:pt idx="35">
                  <c:v>0.50170000000000003</c:v>
                </c:pt>
                <c:pt idx="36">
                  <c:v>0.58540000000000003</c:v>
                </c:pt>
                <c:pt idx="37">
                  <c:v>0.58240000000000003</c:v>
                </c:pt>
                <c:pt idx="38">
                  <c:v>0.50270000000000004</c:v>
                </c:pt>
                <c:pt idx="39">
                  <c:v>0.50029999999999997</c:v>
                </c:pt>
                <c:pt idx="40">
                  <c:v>0.50239999999999996</c:v>
                </c:pt>
                <c:pt idx="41">
                  <c:v>0.56759999999999999</c:v>
                </c:pt>
                <c:pt idx="42">
                  <c:v>0.54339999999999999</c:v>
                </c:pt>
                <c:pt idx="43">
                  <c:v>0.55030000000000001</c:v>
                </c:pt>
                <c:pt idx="44">
                  <c:v>0.52359999999999995</c:v>
                </c:pt>
                <c:pt idx="45">
                  <c:v>0.52310000000000001</c:v>
                </c:pt>
                <c:pt idx="46">
                  <c:v>0.57410000000000005</c:v>
                </c:pt>
                <c:pt idx="47">
                  <c:v>0.58389999999999997</c:v>
                </c:pt>
                <c:pt idx="48">
                  <c:v>0.60119999999999996</c:v>
                </c:pt>
                <c:pt idx="49">
                  <c:v>0.59040000000000004</c:v>
                </c:pt>
                <c:pt idx="50">
                  <c:v>0.51280000000000003</c:v>
                </c:pt>
                <c:pt idx="51">
                  <c:v>0.50449999999999995</c:v>
                </c:pt>
                <c:pt idx="52">
                  <c:v>0.55659999999999998</c:v>
                </c:pt>
                <c:pt idx="53">
                  <c:v>0.58809999999999996</c:v>
                </c:pt>
                <c:pt idx="54">
                  <c:v>0.60270000000000001</c:v>
                </c:pt>
                <c:pt idx="55">
                  <c:v>0.54549999999999998</c:v>
                </c:pt>
                <c:pt idx="56">
                  <c:v>0.50449999999999995</c:v>
                </c:pt>
                <c:pt idx="57">
                  <c:v>0.53320000000000001</c:v>
                </c:pt>
                <c:pt idx="58">
                  <c:v>0.51070000000000004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98-4ED8-A1EA-5CA9BDCAA8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4074495"/>
        <c:axId val="1774075327"/>
      </c:lineChart>
      <c:dateAx>
        <c:axId val="1774074495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774075327"/>
        <c:crosses val="autoZero"/>
        <c:auto val="1"/>
        <c:lblOffset val="100"/>
        <c:baseTimeUnit val="days"/>
      </c:dateAx>
      <c:valAx>
        <c:axId val="1774075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774074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Evolucion</a:t>
            </a:r>
            <a:r>
              <a:rPr lang="en-US" baseline="0"/>
              <a:t> de Cuotaparte 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temp_0_20250205152521!$C$5:$C$64</c:f>
              <c:strCache>
                <c:ptCount val="60"/>
                <c:pt idx="0">
                  <c:v>01/10/2024</c:v>
                </c:pt>
                <c:pt idx="1">
                  <c:v>02/10/2024</c:v>
                </c:pt>
                <c:pt idx="2">
                  <c:v>03/10/2024</c:v>
                </c:pt>
                <c:pt idx="3">
                  <c:v>04/10/2024</c:v>
                </c:pt>
                <c:pt idx="4">
                  <c:v>07/10/2024</c:v>
                </c:pt>
                <c:pt idx="5">
                  <c:v>08/10/2024</c:v>
                </c:pt>
                <c:pt idx="6">
                  <c:v>09/10/2024</c:v>
                </c:pt>
                <c:pt idx="7">
                  <c:v>10/10/2024</c:v>
                </c:pt>
                <c:pt idx="8">
                  <c:v>14/10/2024</c:v>
                </c:pt>
                <c:pt idx="9">
                  <c:v>15/10/2024</c:v>
                </c:pt>
                <c:pt idx="10">
                  <c:v>16/10/2024</c:v>
                </c:pt>
                <c:pt idx="11">
                  <c:v>17/10/2024</c:v>
                </c:pt>
                <c:pt idx="12">
                  <c:v>18/10/2024</c:v>
                </c:pt>
                <c:pt idx="13">
                  <c:v>21/10/2024</c:v>
                </c:pt>
                <c:pt idx="14">
                  <c:v>22/10/2024</c:v>
                </c:pt>
                <c:pt idx="15">
                  <c:v>23/10/2024</c:v>
                </c:pt>
                <c:pt idx="16">
                  <c:v>24/10/2024</c:v>
                </c:pt>
                <c:pt idx="17">
                  <c:v>25/10/2024</c:v>
                </c:pt>
                <c:pt idx="18">
                  <c:v>28/10/2024</c:v>
                </c:pt>
                <c:pt idx="19">
                  <c:v>29/10/2024</c:v>
                </c:pt>
                <c:pt idx="20">
                  <c:v>30/10/2024</c:v>
                </c:pt>
                <c:pt idx="21">
                  <c:v>31/10/2024</c:v>
                </c:pt>
                <c:pt idx="22">
                  <c:v>01/11/2024</c:v>
                </c:pt>
                <c:pt idx="23">
                  <c:v>04/11/2024</c:v>
                </c:pt>
                <c:pt idx="24">
                  <c:v>05/11/2024</c:v>
                </c:pt>
                <c:pt idx="25">
                  <c:v>07/11/2024</c:v>
                </c:pt>
                <c:pt idx="26">
                  <c:v>08/11/2024</c:v>
                </c:pt>
                <c:pt idx="27">
                  <c:v>11/11/2024</c:v>
                </c:pt>
                <c:pt idx="28">
                  <c:v>12/11/2024</c:v>
                </c:pt>
                <c:pt idx="29">
                  <c:v>13/11/2024</c:v>
                </c:pt>
                <c:pt idx="30">
                  <c:v>14/11/2024</c:v>
                </c:pt>
                <c:pt idx="31">
                  <c:v>15/11/2024</c:v>
                </c:pt>
                <c:pt idx="32">
                  <c:v>19/11/2024</c:v>
                </c:pt>
                <c:pt idx="33">
                  <c:v>20/11/2024</c:v>
                </c:pt>
                <c:pt idx="34">
                  <c:v>21/11/2024</c:v>
                </c:pt>
                <c:pt idx="35">
                  <c:v>22/11/2024</c:v>
                </c:pt>
                <c:pt idx="36">
                  <c:v>25/11/2024</c:v>
                </c:pt>
                <c:pt idx="37">
                  <c:v>26/11/2024</c:v>
                </c:pt>
                <c:pt idx="38">
                  <c:v>27/11/2024</c:v>
                </c:pt>
                <c:pt idx="39">
                  <c:v>28/11/2024</c:v>
                </c:pt>
                <c:pt idx="40">
                  <c:v>29/11/2024</c:v>
                </c:pt>
                <c:pt idx="41">
                  <c:v>02/12/2024</c:v>
                </c:pt>
                <c:pt idx="42">
                  <c:v>03/12/2024</c:v>
                </c:pt>
                <c:pt idx="43">
                  <c:v>04/12/2024</c:v>
                </c:pt>
                <c:pt idx="44">
                  <c:v>05/12/2024</c:v>
                </c:pt>
                <c:pt idx="45">
                  <c:v>06/12/2024</c:v>
                </c:pt>
                <c:pt idx="46">
                  <c:v>09/12/2024</c:v>
                </c:pt>
                <c:pt idx="47">
                  <c:v>10/12/2024</c:v>
                </c:pt>
                <c:pt idx="48">
                  <c:v>11/12/2024</c:v>
                </c:pt>
                <c:pt idx="49">
                  <c:v>12/12/2024</c:v>
                </c:pt>
                <c:pt idx="50">
                  <c:v>13/12/2024</c:v>
                </c:pt>
                <c:pt idx="51">
                  <c:v>16/12/2024</c:v>
                </c:pt>
                <c:pt idx="52">
                  <c:v>17/12/2024</c:v>
                </c:pt>
                <c:pt idx="53">
                  <c:v>18/12/2024</c:v>
                </c:pt>
                <c:pt idx="54">
                  <c:v>19/12/2024</c:v>
                </c:pt>
                <c:pt idx="55">
                  <c:v>20/12/2024</c:v>
                </c:pt>
                <c:pt idx="56">
                  <c:v>23/12/2024</c:v>
                </c:pt>
                <c:pt idx="57">
                  <c:v>26/12/2024</c:v>
                </c:pt>
                <c:pt idx="58">
                  <c:v>27/12/2024</c:v>
                </c:pt>
                <c:pt idx="59">
                  <c:v>30/12/2024</c:v>
                </c:pt>
              </c:strCache>
            </c:strRef>
          </c:cat>
          <c:val>
            <c:numRef>
              <c:f>temp_0_20250205152521!$F$5:$F$64</c:f>
              <c:numCache>
                <c:formatCode>#,##0.0000000000</c:formatCode>
                <c:ptCount val="60"/>
                <c:pt idx="0">
                  <c:v>7.6360849999999996</c:v>
                </c:pt>
                <c:pt idx="1">
                  <c:v>7.6442009999999998</c:v>
                </c:pt>
                <c:pt idx="2">
                  <c:v>7.6522579999999998</c:v>
                </c:pt>
                <c:pt idx="3">
                  <c:v>7.6604330000000003</c:v>
                </c:pt>
                <c:pt idx="4">
                  <c:v>7.6830910000000001</c:v>
                </c:pt>
                <c:pt idx="5">
                  <c:v>7.6929059999999998</c:v>
                </c:pt>
                <c:pt idx="6">
                  <c:v>7.7009720000000002</c:v>
                </c:pt>
                <c:pt idx="7">
                  <c:v>7.7090579999999997</c:v>
                </c:pt>
                <c:pt idx="8">
                  <c:v>7.7392899999999996</c:v>
                </c:pt>
                <c:pt idx="9">
                  <c:v>7.7495649999999996</c:v>
                </c:pt>
                <c:pt idx="10">
                  <c:v>7.7576289999999997</c:v>
                </c:pt>
                <c:pt idx="11">
                  <c:v>7.7656029999999996</c:v>
                </c:pt>
                <c:pt idx="12">
                  <c:v>7.7737239999999996</c:v>
                </c:pt>
                <c:pt idx="13">
                  <c:v>7.796824</c:v>
                </c:pt>
                <c:pt idx="14">
                  <c:v>7.8057720000000002</c:v>
                </c:pt>
                <c:pt idx="15">
                  <c:v>7.8137420000000004</c:v>
                </c:pt>
                <c:pt idx="16">
                  <c:v>7.8217850000000002</c:v>
                </c:pt>
                <c:pt idx="17">
                  <c:v>7.8297270000000001</c:v>
                </c:pt>
                <c:pt idx="18">
                  <c:v>7.8527110000000002</c:v>
                </c:pt>
                <c:pt idx="19">
                  <c:v>7.8619409999999998</c:v>
                </c:pt>
                <c:pt idx="20">
                  <c:v>7.8699899999999996</c:v>
                </c:pt>
                <c:pt idx="21">
                  <c:v>7.8781119999999998</c:v>
                </c:pt>
                <c:pt idx="22">
                  <c:v>7.8860770000000002</c:v>
                </c:pt>
                <c:pt idx="23">
                  <c:v>7.9074710000000001</c:v>
                </c:pt>
                <c:pt idx="24">
                  <c:v>7.9157330000000004</c:v>
                </c:pt>
                <c:pt idx="25">
                  <c:v>7.9297810000000002</c:v>
                </c:pt>
                <c:pt idx="26">
                  <c:v>7.9376759999999997</c:v>
                </c:pt>
                <c:pt idx="27">
                  <c:v>7.9590990000000001</c:v>
                </c:pt>
                <c:pt idx="28">
                  <c:v>7.9677809999999996</c:v>
                </c:pt>
                <c:pt idx="29">
                  <c:v>7.9749059999999998</c:v>
                </c:pt>
                <c:pt idx="30">
                  <c:v>7.9821049999999998</c:v>
                </c:pt>
                <c:pt idx="31">
                  <c:v>7.9892979999999998</c:v>
                </c:pt>
                <c:pt idx="32">
                  <c:v>8.0162980000000008</c:v>
                </c:pt>
                <c:pt idx="33">
                  <c:v>8.024578</c:v>
                </c:pt>
                <c:pt idx="34">
                  <c:v>8.0319760000000002</c:v>
                </c:pt>
                <c:pt idx="35">
                  <c:v>8.0393340000000002</c:v>
                </c:pt>
                <c:pt idx="36">
                  <c:v>8.0602129999999992</c:v>
                </c:pt>
                <c:pt idx="37">
                  <c:v>8.0684740000000001</c:v>
                </c:pt>
                <c:pt idx="38">
                  <c:v>8.0755820000000007</c:v>
                </c:pt>
                <c:pt idx="39">
                  <c:v>8.082694</c:v>
                </c:pt>
                <c:pt idx="40">
                  <c:v>8.0900169999999996</c:v>
                </c:pt>
                <c:pt idx="41">
                  <c:v>8.1112450000000003</c:v>
                </c:pt>
                <c:pt idx="42">
                  <c:v>8.1198420000000002</c:v>
                </c:pt>
                <c:pt idx="43">
                  <c:v>8.1270000000000007</c:v>
                </c:pt>
                <c:pt idx="44">
                  <c:v>8.1342040000000004</c:v>
                </c:pt>
                <c:pt idx="45">
                  <c:v>8.1413849999999996</c:v>
                </c:pt>
                <c:pt idx="46">
                  <c:v>8.1623099999999997</c:v>
                </c:pt>
                <c:pt idx="47">
                  <c:v>8.1700309999999998</c:v>
                </c:pt>
                <c:pt idx="48">
                  <c:v>8.1768649999999994</c:v>
                </c:pt>
                <c:pt idx="49">
                  <c:v>8.1836249999999993</c:v>
                </c:pt>
                <c:pt idx="50">
                  <c:v>8.1902039999999996</c:v>
                </c:pt>
                <c:pt idx="51">
                  <c:v>8.2101729999999993</c:v>
                </c:pt>
                <c:pt idx="52">
                  <c:v>8.2174230000000001</c:v>
                </c:pt>
                <c:pt idx="53">
                  <c:v>8.2242510000000006</c:v>
                </c:pt>
                <c:pt idx="54">
                  <c:v>8.2309409999999996</c:v>
                </c:pt>
                <c:pt idx="55">
                  <c:v>8.2374639999999992</c:v>
                </c:pt>
                <c:pt idx="56">
                  <c:v>8.2564209999999996</c:v>
                </c:pt>
                <c:pt idx="57">
                  <c:v>8.2759750000000007</c:v>
                </c:pt>
                <c:pt idx="58">
                  <c:v>8.283042</c:v>
                </c:pt>
                <c:pt idx="59">
                  <c:v>8.3032780000000006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F9-4F8C-A227-9A70B03E2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43536351"/>
        <c:axId val="1143535935"/>
      </c:lineChart>
      <c:catAx>
        <c:axId val="1143536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143535935"/>
        <c:crosses val="autoZero"/>
        <c:auto val="1"/>
        <c:lblAlgn val="ctr"/>
        <c:lblOffset val="100"/>
        <c:noMultiLvlLbl val="0"/>
      </c:catAx>
      <c:valAx>
        <c:axId val="1143535935"/>
        <c:scaling>
          <c:orientation val="minMax"/>
          <c:max val="8.3500000000000014"/>
          <c:min val="7.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0000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143536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Riesgo de Credito</a:t>
            </a:r>
          </a:p>
        </c:rich>
      </c:tx>
      <c:layout>
        <c:manualLayout>
          <c:xMode val="edge"/>
          <c:yMode val="edge"/>
          <c:x val="0.362458223972003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7B-4552-B280-14B658B71B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7B-4552-B280-14B658B71B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7B-4552-B280-14B658B71B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Hoja1!$A$26:$A$28</c:f>
              <c:strCache>
                <c:ptCount val="3"/>
                <c:pt idx="0">
                  <c:v>A1</c:v>
                </c:pt>
                <c:pt idx="1">
                  <c:v>A1+</c:v>
                </c:pt>
                <c:pt idx="2">
                  <c:v>A3</c:v>
                </c:pt>
              </c:strCache>
            </c:strRef>
          </c:cat>
          <c:val>
            <c:numRef>
              <c:f>Hoja1!$B$26:$B$28</c:f>
              <c:numCache>
                <c:formatCode>0%</c:formatCode>
                <c:ptCount val="3"/>
                <c:pt idx="0">
                  <c:v>0.41</c:v>
                </c:pt>
                <c:pt idx="1">
                  <c:v>0.52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7B-4552-B280-14B658B71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Krimer</dc:creator>
  <cp:keywords/>
  <dc:description/>
  <cp:lastModifiedBy>Pedro Affitto</cp:lastModifiedBy>
  <cp:revision>23</cp:revision>
  <dcterms:created xsi:type="dcterms:W3CDTF">2024-08-26T18:19:00Z</dcterms:created>
  <dcterms:modified xsi:type="dcterms:W3CDTF">2025-02-05T18:27:00Z</dcterms:modified>
</cp:coreProperties>
</file>